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Montserrat Light" w:eastAsiaTheme="minorHAnsi" w:hAnsi="Montserrat Light" w:cstheme="minorBidi"/>
          <w:color w:val="auto"/>
          <w:spacing w:val="0"/>
          <w:kern w:val="0"/>
          <w:sz w:val="24"/>
          <w:lang w:val="en-GB" w:eastAsia="en-US"/>
        </w:rPr>
        <w:id w:val="-1577132093"/>
        <w:docPartObj>
          <w:docPartGallery w:val="Table of Contents"/>
          <w:docPartUnique/>
        </w:docPartObj>
      </w:sdtPr>
      <w:sdtEndPr>
        <w:rPr>
          <w:b/>
          <w:bCs/>
          <w:noProof/>
        </w:rPr>
      </w:sdtEndPr>
      <w:sdtContent>
        <w:p w14:paraId="3306AB5B" w14:textId="5CB6198F" w:rsidR="0076472B" w:rsidRDefault="0076472B">
          <w:pPr>
            <w:pStyle w:val="TOCHeading"/>
          </w:pPr>
          <w:r>
            <w:t>Contents</w:t>
          </w:r>
        </w:p>
        <w:p w14:paraId="55CDBAF1" w14:textId="77777777" w:rsidR="0076472B" w:rsidRDefault="0076472B" w:rsidP="0076472B">
          <w:pPr>
            <w:pStyle w:val="TOC1"/>
            <w:rPr>
              <w:rFonts w:asciiTheme="minorHAnsi" w:eastAsiaTheme="minorEastAsia" w:hAnsiTheme="minorHAnsi"/>
              <w:color w:val="auto"/>
              <w:sz w:val="22"/>
              <w:szCs w:val="22"/>
              <w:lang w:eastAsia="en-GB"/>
            </w:rPr>
          </w:pPr>
          <w:r>
            <w:fldChar w:fldCharType="begin"/>
          </w:r>
          <w:r>
            <w:instrText xml:space="preserve"> TOC \o "1-1" \h \z \u </w:instrText>
          </w:r>
          <w:r>
            <w:fldChar w:fldCharType="separate"/>
          </w:r>
          <w:hyperlink w:anchor="_Toc506543683" w:history="1">
            <w:r w:rsidRPr="00991BDD">
              <w:rPr>
                <w:rStyle w:val="Hyperlink"/>
              </w:rPr>
              <w:t>Foreword</w:t>
            </w:r>
            <w:r>
              <w:rPr>
                <w:webHidden/>
              </w:rPr>
              <w:tab/>
            </w:r>
            <w:r>
              <w:rPr>
                <w:webHidden/>
              </w:rPr>
              <w:fldChar w:fldCharType="begin"/>
            </w:r>
            <w:r>
              <w:rPr>
                <w:webHidden/>
              </w:rPr>
              <w:instrText xml:space="preserve"> PAGEREF _Toc506543683 \h </w:instrText>
            </w:r>
            <w:r>
              <w:rPr>
                <w:webHidden/>
              </w:rPr>
            </w:r>
            <w:r>
              <w:rPr>
                <w:webHidden/>
              </w:rPr>
              <w:fldChar w:fldCharType="separate"/>
            </w:r>
            <w:r w:rsidR="00332158">
              <w:rPr>
                <w:webHidden/>
              </w:rPr>
              <w:t>2</w:t>
            </w:r>
            <w:r>
              <w:rPr>
                <w:webHidden/>
              </w:rPr>
              <w:fldChar w:fldCharType="end"/>
            </w:r>
          </w:hyperlink>
        </w:p>
        <w:p w14:paraId="50899FCB" w14:textId="32B8FD1C" w:rsidR="0076472B" w:rsidRDefault="00B05EBE" w:rsidP="0076472B">
          <w:pPr>
            <w:pStyle w:val="TOC1"/>
            <w:rPr>
              <w:rFonts w:asciiTheme="minorHAnsi" w:eastAsiaTheme="minorEastAsia" w:hAnsiTheme="minorHAnsi"/>
              <w:color w:val="auto"/>
              <w:sz w:val="22"/>
              <w:szCs w:val="22"/>
              <w:lang w:eastAsia="en-GB"/>
            </w:rPr>
          </w:pPr>
          <w:hyperlink w:anchor="_Toc506543684" w:history="1">
            <w:r w:rsidR="0076472B" w:rsidRPr="00991BDD">
              <w:rPr>
                <w:rStyle w:val="Hyperlink"/>
              </w:rPr>
              <w:t xml:space="preserve">1. </w:t>
            </w:r>
            <w:r w:rsidR="0076472B">
              <w:rPr>
                <w:rStyle w:val="Hyperlink"/>
              </w:rPr>
              <w:tab/>
            </w:r>
            <w:r w:rsidR="0076472B" w:rsidRPr="00991BDD">
              <w:rPr>
                <w:rStyle w:val="Hyperlink"/>
              </w:rPr>
              <w:t>Engaging with the People of Wales and Widening Public Engagement</w:t>
            </w:r>
            <w:r w:rsidR="0076472B">
              <w:rPr>
                <w:webHidden/>
              </w:rPr>
              <w:tab/>
            </w:r>
            <w:r w:rsidR="0076472B">
              <w:rPr>
                <w:webHidden/>
              </w:rPr>
              <w:fldChar w:fldCharType="begin"/>
            </w:r>
            <w:r w:rsidR="0076472B">
              <w:rPr>
                <w:webHidden/>
              </w:rPr>
              <w:instrText xml:space="preserve"> PAGEREF _Toc506543684 \h </w:instrText>
            </w:r>
            <w:r w:rsidR="0076472B">
              <w:rPr>
                <w:webHidden/>
              </w:rPr>
            </w:r>
            <w:r w:rsidR="0076472B">
              <w:rPr>
                <w:webHidden/>
              </w:rPr>
              <w:fldChar w:fldCharType="separate"/>
            </w:r>
            <w:r w:rsidR="00332158">
              <w:rPr>
                <w:webHidden/>
              </w:rPr>
              <w:t>3</w:t>
            </w:r>
            <w:r w:rsidR="0076472B">
              <w:rPr>
                <w:webHidden/>
              </w:rPr>
              <w:fldChar w:fldCharType="end"/>
            </w:r>
          </w:hyperlink>
        </w:p>
        <w:p w14:paraId="4AC40C55" w14:textId="7DD2DB62" w:rsidR="0076472B" w:rsidRDefault="00B05EBE" w:rsidP="0076472B">
          <w:pPr>
            <w:pStyle w:val="TOC1"/>
            <w:rPr>
              <w:rFonts w:asciiTheme="minorHAnsi" w:eastAsiaTheme="minorEastAsia" w:hAnsiTheme="minorHAnsi"/>
              <w:color w:val="auto"/>
              <w:sz w:val="22"/>
              <w:szCs w:val="22"/>
              <w:lang w:eastAsia="en-GB"/>
            </w:rPr>
          </w:pPr>
          <w:hyperlink w:anchor="_Toc506543685" w:history="1">
            <w:r w:rsidR="0076472B" w:rsidRPr="00991BDD">
              <w:rPr>
                <w:rStyle w:val="Hyperlink"/>
              </w:rPr>
              <w:t xml:space="preserve">2. </w:t>
            </w:r>
            <w:r w:rsidR="0076472B">
              <w:rPr>
                <w:rStyle w:val="Hyperlink"/>
              </w:rPr>
              <w:tab/>
            </w:r>
            <w:r w:rsidR="0076472B" w:rsidRPr="00991BDD">
              <w:rPr>
                <w:rStyle w:val="Hyperlink"/>
              </w:rPr>
              <w:t>Supporting our Workforce: the Assembly Commission as an Employer of Choice</w:t>
            </w:r>
            <w:r w:rsidR="0076472B">
              <w:rPr>
                <w:webHidden/>
              </w:rPr>
              <w:tab/>
            </w:r>
            <w:r w:rsidR="0076472B">
              <w:rPr>
                <w:webHidden/>
              </w:rPr>
              <w:fldChar w:fldCharType="begin"/>
            </w:r>
            <w:r w:rsidR="0076472B">
              <w:rPr>
                <w:webHidden/>
              </w:rPr>
              <w:instrText xml:space="preserve"> PAGEREF _Toc506543685 \h </w:instrText>
            </w:r>
            <w:r w:rsidR="0076472B">
              <w:rPr>
                <w:webHidden/>
              </w:rPr>
            </w:r>
            <w:r w:rsidR="0076472B">
              <w:rPr>
                <w:webHidden/>
              </w:rPr>
              <w:fldChar w:fldCharType="separate"/>
            </w:r>
            <w:r w:rsidR="00332158">
              <w:rPr>
                <w:webHidden/>
              </w:rPr>
              <w:t>16</w:t>
            </w:r>
            <w:r w:rsidR="0076472B">
              <w:rPr>
                <w:webHidden/>
              </w:rPr>
              <w:fldChar w:fldCharType="end"/>
            </w:r>
          </w:hyperlink>
        </w:p>
        <w:p w14:paraId="5E19EDB2" w14:textId="1D3731FE" w:rsidR="0076472B" w:rsidRDefault="00B05EBE" w:rsidP="0076472B">
          <w:pPr>
            <w:pStyle w:val="TOC1"/>
            <w:rPr>
              <w:rFonts w:asciiTheme="minorHAnsi" w:eastAsiaTheme="minorEastAsia" w:hAnsiTheme="minorHAnsi"/>
              <w:color w:val="auto"/>
              <w:sz w:val="22"/>
              <w:szCs w:val="22"/>
              <w:lang w:eastAsia="en-GB"/>
            </w:rPr>
          </w:pPr>
          <w:hyperlink w:anchor="_Toc506543686" w:history="1">
            <w:r w:rsidR="0076472B" w:rsidRPr="00991BDD">
              <w:rPr>
                <w:rStyle w:val="Hyperlink"/>
              </w:rPr>
              <w:t xml:space="preserve">3. </w:t>
            </w:r>
            <w:r w:rsidR="0076472B">
              <w:rPr>
                <w:rStyle w:val="Hyperlink"/>
              </w:rPr>
              <w:tab/>
            </w:r>
            <w:r w:rsidR="0076472B" w:rsidRPr="00991BDD">
              <w:rPr>
                <w:rStyle w:val="Hyperlink"/>
              </w:rPr>
              <w:t>Supporting Assembly Members, their Staff and Assembly Business</w:t>
            </w:r>
            <w:r w:rsidR="0076472B">
              <w:rPr>
                <w:webHidden/>
              </w:rPr>
              <w:tab/>
            </w:r>
            <w:r w:rsidR="0076472B">
              <w:rPr>
                <w:webHidden/>
              </w:rPr>
              <w:fldChar w:fldCharType="begin"/>
            </w:r>
            <w:r w:rsidR="0076472B">
              <w:rPr>
                <w:webHidden/>
              </w:rPr>
              <w:instrText xml:space="preserve"> PAGEREF _Toc506543686 \h </w:instrText>
            </w:r>
            <w:r w:rsidR="0076472B">
              <w:rPr>
                <w:webHidden/>
              </w:rPr>
            </w:r>
            <w:r w:rsidR="0076472B">
              <w:rPr>
                <w:webHidden/>
              </w:rPr>
              <w:fldChar w:fldCharType="separate"/>
            </w:r>
            <w:r w:rsidR="00332158">
              <w:rPr>
                <w:webHidden/>
              </w:rPr>
              <w:t>25</w:t>
            </w:r>
            <w:r w:rsidR="0076472B">
              <w:rPr>
                <w:webHidden/>
              </w:rPr>
              <w:fldChar w:fldCharType="end"/>
            </w:r>
          </w:hyperlink>
        </w:p>
        <w:p w14:paraId="23C0B72F" w14:textId="6985AC9F" w:rsidR="0076472B" w:rsidRDefault="00B05EBE" w:rsidP="0076472B">
          <w:pPr>
            <w:pStyle w:val="TOC1"/>
            <w:rPr>
              <w:rFonts w:asciiTheme="minorHAnsi" w:eastAsiaTheme="minorEastAsia" w:hAnsiTheme="minorHAnsi"/>
              <w:color w:val="auto"/>
              <w:sz w:val="22"/>
              <w:szCs w:val="22"/>
              <w:lang w:eastAsia="en-GB"/>
            </w:rPr>
          </w:pPr>
          <w:hyperlink w:anchor="_Toc506543687" w:history="1">
            <w:r w:rsidR="0076472B" w:rsidRPr="00991BDD">
              <w:rPr>
                <w:rStyle w:val="Hyperlink"/>
              </w:rPr>
              <w:t xml:space="preserve">4. </w:t>
            </w:r>
            <w:r w:rsidR="0076472B">
              <w:rPr>
                <w:rStyle w:val="Hyperlink"/>
              </w:rPr>
              <w:tab/>
            </w:r>
            <w:r w:rsidR="0076472B" w:rsidRPr="00991BDD">
              <w:rPr>
                <w:rStyle w:val="Hyperlink"/>
              </w:rPr>
              <w:t>Embedding Equality into our Work</w:t>
            </w:r>
            <w:r w:rsidR="0076472B">
              <w:rPr>
                <w:webHidden/>
              </w:rPr>
              <w:tab/>
            </w:r>
            <w:r w:rsidR="0076472B">
              <w:rPr>
                <w:webHidden/>
              </w:rPr>
              <w:fldChar w:fldCharType="begin"/>
            </w:r>
            <w:r w:rsidR="0076472B">
              <w:rPr>
                <w:webHidden/>
              </w:rPr>
              <w:instrText xml:space="preserve"> PAGEREF _Toc506543687 \h </w:instrText>
            </w:r>
            <w:r w:rsidR="0076472B">
              <w:rPr>
                <w:webHidden/>
              </w:rPr>
            </w:r>
            <w:r w:rsidR="0076472B">
              <w:rPr>
                <w:webHidden/>
              </w:rPr>
              <w:fldChar w:fldCharType="separate"/>
            </w:r>
            <w:r w:rsidR="00332158">
              <w:rPr>
                <w:webHidden/>
              </w:rPr>
              <w:t>33</w:t>
            </w:r>
            <w:r w:rsidR="0076472B">
              <w:rPr>
                <w:webHidden/>
              </w:rPr>
              <w:fldChar w:fldCharType="end"/>
            </w:r>
          </w:hyperlink>
        </w:p>
        <w:p w14:paraId="334040AB" w14:textId="77777777" w:rsidR="0076472B" w:rsidRDefault="00B05EBE" w:rsidP="0076472B">
          <w:pPr>
            <w:pStyle w:val="TOC1"/>
            <w:rPr>
              <w:rFonts w:asciiTheme="minorHAnsi" w:eastAsiaTheme="minorEastAsia" w:hAnsiTheme="minorHAnsi"/>
              <w:color w:val="auto"/>
              <w:sz w:val="22"/>
              <w:szCs w:val="22"/>
              <w:lang w:eastAsia="en-GB"/>
            </w:rPr>
          </w:pPr>
          <w:hyperlink w:anchor="_Toc506543688" w:history="1">
            <w:r w:rsidR="0076472B" w:rsidRPr="00991BDD">
              <w:rPr>
                <w:rStyle w:val="Hyperlink"/>
                <w:b/>
              </w:rPr>
              <w:t>Annex A:</w:t>
            </w:r>
            <w:r w:rsidR="0076472B" w:rsidRPr="00991BDD">
              <w:rPr>
                <w:rStyle w:val="Hyperlink"/>
              </w:rPr>
              <w:t xml:space="preserve"> Workforce and Recruitment Monitoring Data</w:t>
            </w:r>
            <w:r w:rsidR="0076472B">
              <w:rPr>
                <w:webHidden/>
              </w:rPr>
              <w:tab/>
            </w:r>
            <w:r w:rsidR="0076472B">
              <w:rPr>
                <w:webHidden/>
              </w:rPr>
              <w:fldChar w:fldCharType="begin"/>
            </w:r>
            <w:r w:rsidR="0076472B">
              <w:rPr>
                <w:webHidden/>
              </w:rPr>
              <w:instrText xml:space="preserve"> PAGEREF _Toc506543688 \h </w:instrText>
            </w:r>
            <w:r w:rsidR="0076472B">
              <w:rPr>
                <w:webHidden/>
              </w:rPr>
            </w:r>
            <w:r w:rsidR="0076472B">
              <w:rPr>
                <w:webHidden/>
              </w:rPr>
              <w:fldChar w:fldCharType="separate"/>
            </w:r>
            <w:r w:rsidR="00332158">
              <w:rPr>
                <w:webHidden/>
              </w:rPr>
              <w:t>35</w:t>
            </w:r>
            <w:r w:rsidR="0076472B">
              <w:rPr>
                <w:webHidden/>
              </w:rPr>
              <w:fldChar w:fldCharType="end"/>
            </w:r>
          </w:hyperlink>
        </w:p>
        <w:p w14:paraId="42FDBB9C" w14:textId="77777777" w:rsidR="0076472B" w:rsidRDefault="00B05EBE" w:rsidP="0076472B">
          <w:pPr>
            <w:pStyle w:val="TOC1"/>
            <w:rPr>
              <w:rFonts w:asciiTheme="minorHAnsi" w:eastAsiaTheme="minorEastAsia" w:hAnsiTheme="minorHAnsi"/>
              <w:color w:val="auto"/>
              <w:sz w:val="22"/>
              <w:szCs w:val="22"/>
              <w:lang w:eastAsia="en-GB"/>
            </w:rPr>
          </w:pPr>
          <w:hyperlink w:anchor="_Toc506543689" w:history="1">
            <w:r w:rsidR="0076472B" w:rsidRPr="00991BDD">
              <w:rPr>
                <w:rStyle w:val="Hyperlink"/>
                <w:b/>
              </w:rPr>
              <w:t>Annex B:</w:t>
            </w:r>
            <w:r w:rsidR="0076472B" w:rsidRPr="00991BDD">
              <w:rPr>
                <w:rStyle w:val="Hyperlink"/>
              </w:rPr>
              <w:t xml:space="preserve"> Equal Pay Audit and Gender Pay Gap Reporting 2017</w:t>
            </w:r>
            <w:r w:rsidR="0076472B">
              <w:rPr>
                <w:webHidden/>
              </w:rPr>
              <w:tab/>
            </w:r>
            <w:r w:rsidR="0076472B">
              <w:rPr>
                <w:webHidden/>
              </w:rPr>
              <w:fldChar w:fldCharType="begin"/>
            </w:r>
            <w:r w:rsidR="0076472B">
              <w:rPr>
                <w:webHidden/>
              </w:rPr>
              <w:instrText xml:space="preserve"> PAGEREF _Toc506543689 \h </w:instrText>
            </w:r>
            <w:r w:rsidR="0076472B">
              <w:rPr>
                <w:webHidden/>
              </w:rPr>
            </w:r>
            <w:r w:rsidR="0076472B">
              <w:rPr>
                <w:webHidden/>
              </w:rPr>
              <w:fldChar w:fldCharType="separate"/>
            </w:r>
            <w:r w:rsidR="00332158">
              <w:rPr>
                <w:webHidden/>
              </w:rPr>
              <w:t>70</w:t>
            </w:r>
            <w:r w:rsidR="0076472B">
              <w:rPr>
                <w:webHidden/>
              </w:rPr>
              <w:fldChar w:fldCharType="end"/>
            </w:r>
          </w:hyperlink>
        </w:p>
        <w:p w14:paraId="21E88040" w14:textId="57369B2A" w:rsidR="0076472B" w:rsidRDefault="0076472B">
          <w:r>
            <w:rPr>
              <w:rFonts w:ascii="Montserrat" w:hAnsi="Montserrat"/>
              <w:b/>
              <w:noProof/>
              <w:color w:val="1A2A57"/>
              <w:sz w:val="28"/>
            </w:rPr>
            <w:fldChar w:fldCharType="end"/>
          </w:r>
        </w:p>
      </w:sdtContent>
    </w:sdt>
    <w:p w14:paraId="1EBE60E0" w14:textId="31D76416" w:rsidR="00F958F9" w:rsidRDefault="00F958F9" w:rsidP="0076472B">
      <w:pPr>
        <w:pStyle w:val="3Copy-text"/>
      </w:pPr>
    </w:p>
    <w:p w14:paraId="2F2771B4" w14:textId="77777777" w:rsidR="0076472B" w:rsidRDefault="0076472B" w:rsidP="0076472B">
      <w:pPr>
        <w:pStyle w:val="3Copy-text"/>
      </w:pPr>
    </w:p>
    <w:p w14:paraId="59D806C2" w14:textId="77777777" w:rsidR="0076472B" w:rsidRDefault="0076472B" w:rsidP="0076472B">
      <w:pPr>
        <w:pStyle w:val="3Copy-text"/>
      </w:pPr>
    </w:p>
    <w:p w14:paraId="7FE55857" w14:textId="77777777" w:rsidR="0076472B" w:rsidRDefault="0076472B" w:rsidP="0076472B">
      <w:pPr>
        <w:pStyle w:val="3Copy-text"/>
      </w:pPr>
    </w:p>
    <w:p w14:paraId="16C9DE85" w14:textId="77777777" w:rsidR="0076472B" w:rsidRDefault="0076472B" w:rsidP="0076472B">
      <w:pPr>
        <w:pStyle w:val="3Copy-text"/>
      </w:pPr>
    </w:p>
    <w:p w14:paraId="1A957D7B" w14:textId="77777777" w:rsidR="0076472B" w:rsidRDefault="0076472B" w:rsidP="0076472B">
      <w:pPr>
        <w:pStyle w:val="3Copy-text"/>
      </w:pPr>
    </w:p>
    <w:p w14:paraId="5E164030" w14:textId="77777777" w:rsidR="0076472B" w:rsidRPr="006957AC" w:rsidRDefault="0076472B" w:rsidP="0076472B">
      <w:pPr>
        <w:pStyle w:val="3Copy-text"/>
        <w:sectPr w:rsidR="0076472B" w:rsidRPr="006957AC" w:rsidSect="00290A96">
          <w:headerReference w:type="even" r:id="rId8"/>
          <w:footerReference w:type="even" r:id="rId9"/>
          <w:pgSz w:w="11906" w:h="16838" w:code="9"/>
          <w:pgMar w:top="1418" w:right="1134" w:bottom="1418" w:left="1134" w:header="567" w:footer="567" w:gutter="0"/>
          <w:cols w:space="708"/>
          <w:docGrid w:linePitch="360"/>
        </w:sectPr>
      </w:pPr>
    </w:p>
    <w:p w14:paraId="19E322C1" w14:textId="39B90ECB" w:rsidR="0076472B" w:rsidRDefault="0076472B">
      <w:pPr>
        <w:rPr>
          <w:color w:val="414042"/>
          <w:kern w:val="24"/>
        </w:rPr>
      </w:pPr>
      <w:r>
        <w:lastRenderedPageBreak/>
        <w:br w:type="page"/>
      </w:r>
    </w:p>
    <w:p w14:paraId="50020259" w14:textId="311127E4" w:rsidR="00290A96" w:rsidRPr="00290A96" w:rsidRDefault="00A31C6B" w:rsidP="00290A96">
      <w:pPr>
        <w:pStyle w:val="1Mainheadings"/>
      </w:pPr>
      <w:bookmarkStart w:id="0" w:name="_Toc506543683"/>
      <w:r>
        <w:lastRenderedPageBreak/>
        <w:t>Foreword</w:t>
      </w:r>
      <w:bookmarkEnd w:id="0"/>
    </w:p>
    <w:p w14:paraId="7F5383D7" w14:textId="77777777" w:rsidR="00A31C6B" w:rsidRPr="00290A96" w:rsidRDefault="00A31C6B" w:rsidP="00290A96">
      <w:pPr>
        <w:pStyle w:val="2intro-paragraph"/>
      </w:pPr>
      <w:r w:rsidRPr="00290A96">
        <w:t>This report provides an update on activities related to diversity and inclusion activities over the period from 1 April 2016 to 31 March 2017. This period spans the expiration of our previous equality scheme and the development of the Assembly Commission’s Diversity and Inclusion Strategy for the Fifth Assembly.</w:t>
      </w:r>
    </w:p>
    <w:p w14:paraId="41F5CC29" w14:textId="77777777" w:rsidR="00A31C6B" w:rsidRDefault="00A31C6B" w:rsidP="00A31C6B">
      <w:pPr>
        <w:pStyle w:val="3Copy-text"/>
      </w:pPr>
      <w:r>
        <w:t>This year has seen teams working collaboratively to realise our goals to further develop our workplace equality networks, build capacity across our organisation to undertake equality impact assessments, continue to take steps to address underrepresentation in our workforce and endeavour to engage the broadest range of people in the work of the Assembly.</w:t>
      </w:r>
    </w:p>
    <w:p w14:paraId="0DA620E2" w14:textId="68A8FA80" w:rsidR="00A31C6B" w:rsidRDefault="00A31C6B" w:rsidP="00A31C6B">
      <w:pPr>
        <w:pStyle w:val="3Copy-text"/>
      </w:pPr>
      <w:r>
        <w:t>Looking ahead, we will focus on delivery on our objectives set out in our Diversity Plan for the Fifth Assembly. Our areas of focus include fostering inclusive leadership and an inclusive workplace culture, assisting our staff, Assembly Members and their staff to build diversity and inclusion into their work and behaving as an inclusive employer that attracts and retains a broad range of talent.</w:t>
      </w:r>
      <w:r w:rsidR="00226795">
        <w:t xml:space="preserve"> </w:t>
      </w:r>
    </w:p>
    <w:p w14:paraId="3948255D" w14:textId="77777777" w:rsidR="00A31C6B" w:rsidRDefault="00A31C6B" w:rsidP="00A31C6B">
      <w:pPr>
        <w:pStyle w:val="3Copy-text"/>
      </w:pPr>
      <w:r>
        <w:t>As ever, we welcome feedback on our approach to the way in which we value diversity and further inclusion in our organisation and look forward to continuing progress in reaching our goals set out in our Diversity and Inclusion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76472B" w14:paraId="1FF66908" w14:textId="77777777" w:rsidTr="00E94285">
        <w:tc>
          <w:tcPr>
            <w:tcW w:w="4927" w:type="dxa"/>
          </w:tcPr>
          <w:p w14:paraId="2993E052" w14:textId="77777777" w:rsidR="0076472B" w:rsidRDefault="0076472B" w:rsidP="00854EA4">
            <w:pPr>
              <w:pStyle w:val="3Copy-text"/>
              <w:spacing w:before="60" w:after="60" w:line="288" w:lineRule="auto"/>
            </w:pPr>
            <w:r>
              <w:rPr>
                <w:noProof/>
                <w:lang w:eastAsia="en-GB"/>
              </w:rPr>
              <w:drawing>
                <wp:inline distT="0" distB="0" distL="0" distR="0" wp14:anchorId="60114FF6" wp14:editId="13357320">
                  <wp:extent cx="1313867" cy="180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on.jpg"/>
                          <pic:cNvPicPr/>
                        </pic:nvPicPr>
                        <pic:blipFill>
                          <a:blip r:embed="rId10">
                            <a:extLst>
                              <a:ext uri="{28A0092B-C50C-407E-A947-70E740481C1C}">
                                <a14:useLocalDpi xmlns:a14="http://schemas.microsoft.com/office/drawing/2010/main" val="0"/>
                              </a:ext>
                            </a:extLst>
                          </a:blip>
                          <a:stretch>
                            <a:fillRect/>
                          </a:stretch>
                        </pic:blipFill>
                        <pic:spPr>
                          <a:xfrm>
                            <a:off x="0" y="0"/>
                            <a:ext cx="1313867" cy="1800000"/>
                          </a:xfrm>
                          <a:prstGeom prst="rect">
                            <a:avLst/>
                          </a:prstGeom>
                        </pic:spPr>
                      </pic:pic>
                    </a:graphicData>
                  </a:graphic>
                </wp:inline>
              </w:drawing>
            </w:r>
          </w:p>
        </w:tc>
        <w:tc>
          <w:tcPr>
            <w:tcW w:w="4927" w:type="dxa"/>
          </w:tcPr>
          <w:p w14:paraId="291183B4" w14:textId="77777777" w:rsidR="0076472B" w:rsidRDefault="0076472B" w:rsidP="00854EA4">
            <w:pPr>
              <w:pStyle w:val="3Copy-text"/>
              <w:spacing w:before="60" w:after="60" w:line="288" w:lineRule="auto"/>
            </w:pPr>
            <w:r>
              <w:rPr>
                <w:noProof/>
                <w:lang w:eastAsia="en-GB"/>
              </w:rPr>
              <w:drawing>
                <wp:inline distT="0" distB="0" distL="0" distR="0" wp14:anchorId="048E558A" wp14:editId="63744A79">
                  <wp:extent cx="18000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yce Wats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76472B" w:rsidRPr="00290A96" w14:paraId="16D76383" w14:textId="77777777" w:rsidTr="00E94285">
        <w:trPr>
          <w:trHeight w:val="284"/>
        </w:trPr>
        <w:tc>
          <w:tcPr>
            <w:tcW w:w="4927" w:type="dxa"/>
          </w:tcPr>
          <w:p w14:paraId="4B282D2D" w14:textId="77777777" w:rsidR="0076472B" w:rsidRPr="00290A96" w:rsidRDefault="0076472B" w:rsidP="00854EA4">
            <w:pPr>
              <w:pStyle w:val="3Copy-text"/>
              <w:spacing w:before="60" w:after="60" w:line="288" w:lineRule="auto"/>
              <w:rPr>
                <w:sz w:val="20"/>
              </w:rPr>
            </w:pPr>
            <w:r w:rsidRPr="00290A96">
              <w:rPr>
                <w:b/>
                <w:sz w:val="20"/>
              </w:rPr>
              <w:t xml:space="preserve">Manon Antoniazzi </w:t>
            </w:r>
            <w:r w:rsidRPr="00290A96">
              <w:rPr>
                <w:b/>
                <w:sz w:val="20"/>
              </w:rPr>
              <w:br/>
            </w:r>
            <w:r w:rsidRPr="00290A96">
              <w:rPr>
                <w:sz w:val="20"/>
              </w:rPr>
              <w:t>Chief Exec</w:t>
            </w:r>
            <w:r>
              <w:rPr>
                <w:sz w:val="20"/>
              </w:rPr>
              <w:t>utive and Clerk to the Assembly</w:t>
            </w:r>
          </w:p>
        </w:tc>
        <w:tc>
          <w:tcPr>
            <w:tcW w:w="4927" w:type="dxa"/>
          </w:tcPr>
          <w:p w14:paraId="5F59E5F2" w14:textId="77777777" w:rsidR="0076472B" w:rsidRPr="00290A96" w:rsidRDefault="0076472B" w:rsidP="00854EA4">
            <w:pPr>
              <w:pStyle w:val="3Copy-text"/>
              <w:spacing w:before="60" w:after="60" w:line="288" w:lineRule="auto"/>
              <w:rPr>
                <w:sz w:val="20"/>
              </w:rPr>
            </w:pPr>
            <w:r w:rsidRPr="00290A96">
              <w:rPr>
                <w:b/>
                <w:sz w:val="20"/>
              </w:rPr>
              <w:t>Joyce Watson</w:t>
            </w:r>
            <w:r w:rsidRPr="00290A96">
              <w:rPr>
                <w:b/>
                <w:sz w:val="20"/>
              </w:rPr>
              <w:br/>
            </w:r>
            <w:r w:rsidRPr="00290A96">
              <w:rPr>
                <w:sz w:val="20"/>
              </w:rPr>
              <w:t>Assembly Commissioner with responsibility for employees and equalities</w:t>
            </w:r>
          </w:p>
        </w:tc>
      </w:tr>
    </w:tbl>
    <w:p w14:paraId="5A930AF0" w14:textId="56177E57" w:rsidR="0076472B" w:rsidRDefault="0076472B">
      <w:pPr>
        <w:rPr>
          <w:color w:val="414042"/>
          <w:kern w:val="24"/>
        </w:rPr>
      </w:pPr>
      <w:r>
        <w:br w:type="page"/>
      </w:r>
    </w:p>
    <w:p w14:paraId="323780C9" w14:textId="006175CA" w:rsidR="00F958F9" w:rsidRDefault="00052C90" w:rsidP="002510FF">
      <w:pPr>
        <w:pStyle w:val="1Numbered-Heading"/>
      </w:pPr>
      <w:bookmarkStart w:id="1" w:name="_Toc506543684"/>
      <w:r w:rsidRPr="00052C90">
        <w:lastRenderedPageBreak/>
        <w:t>Engaging with the People of Wales and Widening Public Engagement</w:t>
      </w:r>
      <w:bookmarkEnd w:id="1"/>
    </w:p>
    <w:p w14:paraId="11997CAE" w14:textId="77777777" w:rsidR="0086410B" w:rsidRPr="00290A96" w:rsidRDefault="00052C90" w:rsidP="002510FF">
      <w:pPr>
        <w:pStyle w:val="2intro-paragraph"/>
      </w:pPr>
      <w:r w:rsidRPr="00290A96">
        <w:t xml:space="preserve">One of the </w:t>
      </w:r>
      <w:hyperlink r:id="rId12" w:history="1">
        <w:r w:rsidRPr="00290A96">
          <w:t>strategic goals</w:t>
        </w:r>
      </w:hyperlink>
      <w:r w:rsidRPr="00290A96">
        <w:t xml:space="preserve"> of the Assembly Commission is to engage with all of the people of Wales and to champion the work of the Assembly. It is important that the Assembly represents all of the people of Wales and that everyone has access to our work, our buildings and our information. </w:t>
      </w:r>
    </w:p>
    <w:p w14:paraId="4655E115" w14:textId="4F4A7106" w:rsidR="0086410B" w:rsidRPr="00290A96" w:rsidRDefault="00052C90" w:rsidP="00290A96">
      <w:pPr>
        <w:pStyle w:val="3Copy-text"/>
      </w:pPr>
      <w:r w:rsidRPr="00290A96">
        <w:t xml:space="preserve">During this reporting period, we have developed a new Public Engagement Strategy </w:t>
      </w:r>
      <w:r w:rsidR="009C49FC" w:rsidRPr="00290A96">
        <w:t>that</w:t>
      </w:r>
      <w:r w:rsidRPr="00290A96">
        <w:t xml:space="preserve"> will inform our priorities for public engagement. </w:t>
      </w:r>
      <w:r w:rsidR="0086410B" w:rsidRPr="00290A96">
        <w:t xml:space="preserve">The purpose of the new </w:t>
      </w:r>
      <w:r w:rsidR="006957AC" w:rsidRPr="00290A96">
        <w:t>strategy will</w:t>
      </w:r>
      <w:r w:rsidR="0086410B" w:rsidRPr="00290A96">
        <w:t xml:space="preserve"> be to plan the delivery </w:t>
      </w:r>
      <w:r w:rsidR="006957AC" w:rsidRPr="00290A96">
        <w:t>of services</w:t>
      </w:r>
      <w:r w:rsidR="0086410B" w:rsidRPr="00290A96">
        <w:t xml:space="preserve"> that connect and engage with all the people of Wales, by informing and involving all the people of Wales in the Assembly’s work, and introduce ways that empower them as citizens to directly influence and take pride in the parliament’s work. Particular attention will be given to developing services that engage those who do not curr</w:t>
      </w:r>
      <w:r w:rsidR="006957AC" w:rsidRPr="00290A96">
        <w:t>ently engage with the Assembly.</w:t>
      </w:r>
    </w:p>
    <w:p w14:paraId="7B6A8547" w14:textId="4087F7FE" w:rsidR="00290A96" w:rsidRDefault="00EB424A" w:rsidP="00290A96">
      <w:pPr>
        <w:pStyle w:val="2Sub-headings"/>
      </w:pPr>
      <w:r>
        <w:t>Major public engagement i</w:t>
      </w:r>
      <w:r w:rsidR="00052C90" w:rsidRPr="00C30AFC">
        <w:t>nitiatives</w:t>
      </w:r>
    </w:p>
    <w:p w14:paraId="42FD652A" w14:textId="77777777" w:rsidR="00052C90" w:rsidRPr="00290A96" w:rsidRDefault="00052C90" w:rsidP="00290A96">
      <w:pPr>
        <w:pStyle w:val="3Copy-text"/>
      </w:pPr>
      <w:r w:rsidRPr="00290A96">
        <w:t>In November 2016, we announced:</w:t>
      </w:r>
    </w:p>
    <w:p w14:paraId="0E1EE456" w14:textId="77777777" w:rsidR="00052C90" w:rsidRPr="00FB7171" w:rsidRDefault="00052C90" w:rsidP="00FB7171">
      <w:pPr>
        <w:pStyle w:val="4Bulletlist"/>
      </w:pPr>
      <w:r w:rsidRPr="00FB7171">
        <w:t xml:space="preserve">the establishment of a </w:t>
      </w:r>
      <w:hyperlink r:id="rId13" w:history="1">
        <w:r w:rsidRPr="00FB7171">
          <w:t>Youth Parliament for Wales</w:t>
        </w:r>
      </w:hyperlink>
      <w:r w:rsidRPr="00FB7171">
        <w:t>, supported and funded by the Assembly Commission; and</w:t>
      </w:r>
    </w:p>
    <w:p w14:paraId="522A762E" w14:textId="77777777" w:rsidR="00052C90" w:rsidRPr="00FB7171" w:rsidRDefault="00052C90" w:rsidP="00FB7171">
      <w:pPr>
        <w:pStyle w:val="4Bulletlist"/>
      </w:pPr>
      <w:r w:rsidRPr="00FB7171">
        <w:t xml:space="preserve">the establishment of a </w:t>
      </w:r>
      <w:hyperlink r:id="rId14" w:history="1">
        <w:r w:rsidRPr="00FB7171">
          <w:t>Digital Information and News Task Force</w:t>
        </w:r>
      </w:hyperlink>
      <w:r w:rsidRPr="00FB7171">
        <w:t>.</w:t>
      </w:r>
    </w:p>
    <w:p w14:paraId="4204B2BB" w14:textId="735371D9" w:rsidR="00052C90" w:rsidRPr="00541990" w:rsidRDefault="00EB424A" w:rsidP="00052C90">
      <w:pPr>
        <w:pStyle w:val="2Sub-headings"/>
      </w:pPr>
      <w:r>
        <w:t xml:space="preserve">Overview of </w:t>
      </w:r>
      <w:r w:rsidR="004C6E91">
        <w:t xml:space="preserve">community and youth </w:t>
      </w:r>
      <w:r>
        <w:t>e</w:t>
      </w:r>
      <w:r w:rsidR="00052C90" w:rsidRPr="00541990">
        <w:t>ngagement</w:t>
      </w:r>
    </w:p>
    <w:p w14:paraId="4949789D" w14:textId="4B4981B3" w:rsidR="008B4636" w:rsidRDefault="00052C90" w:rsidP="00DB54AE">
      <w:pPr>
        <w:pStyle w:val="3Copy-text"/>
      </w:pPr>
      <w:r w:rsidRPr="006F1F00">
        <w:t xml:space="preserve">In the last year, we have welcomed thousands of </w:t>
      </w:r>
      <w:r>
        <w:t>visitors</w:t>
      </w:r>
      <w:r w:rsidRPr="006F1F00">
        <w:t xml:space="preserve"> to our estate and interacted with people across Wales</w:t>
      </w:r>
      <w:r>
        <w:t xml:space="preserve"> in a variety of different ways</w:t>
      </w:r>
      <w:r w:rsidRPr="006F1F00">
        <w:t>.</w:t>
      </w:r>
      <w:r>
        <w:t xml:space="preserve"> Below we celebrate some of our engagement work and share some of the highlights of the year.</w:t>
      </w:r>
    </w:p>
    <w:p w14:paraId="5E017B2E" w14:textId="77777777" w:rsidR="008B4636" w:rsidRDefault="008B4636">
      <w:pPr>
        <w:spacing w:before="0" w:after="160" w:line="259" w:lineRule="auto"/>
        <w:rPr>
          <w:color w:val="414042"/>
          <w:kern w:val="24"/>
        </w:rPr>
      </w:pPr>
      <w:r>
        <w:br w:type="page"/>
      </w:r>
    </w:p>
    <w:p w14:paraId="79DF74AA" w14:textId="67B203B1" w:rsidR="008B4636" w:rsidRPr="008D58FB" w:rsidRDefault="008B4636" w:rsidP="008D58FB">
      <w:pPr>
        <w:pStyle w:val="3Highlight-box"/>
        <w:rPr>
          <w:rFonts w:ascii="Montserrat" w:hAnsi="Montserrat"/>
          <w:b/>
        </w:rPr>
      </w:pPr>
      <w:r w:rsidRPr="008D58FB">
        <w:rPr>
          <w:rFonts w:ascii="Montserrat" w:hAnsi="Montserrat"/>
          <w:b/>
        </w:rPr>
        <w:lastRenderedPageBreak/>
        <w:t>CASE STUDY: #SeneddNewport</w:t>
      </w:r>
    </w:p>
    <w:p w14:paraId="22A50038" w14:textId="0AC1E929" w:rsidR="00052C90" w:rsidRPr="00B22970" w:rsidRDefault="008B4636" w:rsidP="008D58FB">
      <w:pPr>
        <w:pStyle w:val="3Highlight-box"/>
      </w:pPr>
      <w:r>
        <w:rPr>
          <w:noProof/>
          <w:lang w:eastAsia="en-GB"/>
        </w:rPr>
        <w:drawing>
          <wp:inline distT="0" distB="0" distL="0" distR="0" wp14:anchorId="504FBF99" wp14:editId="2E1B8469">
            <wp:extent cx="5976000" cy="5976000"/>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edd newpo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6000" cy="5976000"/>
                    </a:xfrm>
                    <a:prstGeom prst="rect">
                      <a:avLst/>
                    </a:prstGeom>
                  </pic:spPr>
                </pic:pic>
              </a:graphicData>
            </a:graphic>
          </wp:inline>
        </w:drawing>
      </w:r>
    </w:p>
    <w:p w14:paraId="429730F9" w14:textId="73999D3A" w:rsidR="00052C90" w:rsidRDefault="00052C90" w:rsidP="008D58FB">
      <w:pPr>
        <w:pStyle w:val="3Highlight-box"/>
      </w:pPr>
      <w:r>
        <w:t>B</w:t>
      </w:r>
      <w:r w:rsidRPr="00057FF9">
        <w:t>uilding</w:t>
      </w:r>
      <w:r>
        <w:t xml:space="preserve"> on the success of our</w:t>
      </w:r>
      <w:r w:rsidRPr="00057FF9">
        <w:t xml:space="preserve"> visit</w:t>
      </w:r>
      <w:r>
        <w:t>s</w:t>
      </w:r>
      <w:r w:rsidRPr="00057FF9">
        <w:t xml:space="preserve"> to Wrexham and Swansea</w:t>
      </w:r>
      <w:r>
        <w:t>, we took the work of the Assembly to</w:t>
      </w:r>
      <w:r w:rsidRPr="00057FF9">
        <w:t xml:space="preserve"> Newport </w:t>
      </w:r>
      <w:r>
        <w:t xml:space="preserve">for a week in March 2017. </w:t>
      </w:r>
      <w:r w:rsidRPr="00057FF9">
        <w:t xml:space="preserve">The week’s activities were delivered in partnership with the South Wales Argus and the University of South Wales. </w:t>
      </w:r>
      <w:r>
        <w:t>During a busy week, t</w:t>
      </w:r>
      <w:r w:rsidRPr="00057FF9">
        <w:t>h</w:t>
      </w:r>
      <w:r>
        <w:t>re</w:t>
      </w:r>
      <w:r w:rsidRPr="00057FF9">
        <w:t xml:space="preserve">e </w:t>
      </w:r>
      <w:r>
        <w:t xml:space="preserve">committees </w:t>
      </w:r>
      <w:r w:rsidRPr="00057FF9">
        <w:t>held formal meetings in the</w:t>
      </w:r>
      <w:r>
        <w:t xml:space="preserve"> Newport campus of the </w:t>
      </w:r>
      <w:r w:rsidRPr="00057FF9">
        <w:t>University of South Wales</w:t>
      </w:r>
      <w:r>
        <w:t>;</w:t>
      </w:r>
      <w:r w:rsidRPr="00057FF9">
        <w:t xml:space="preserve"> </w:t>
      </w:r>
      <w:r>
        <w:t xml:space="preserve">two of our committees visited local schools; our outreach, youth engagement and education teams </w:t>
      </w:r>
      <w:r w:rsidRPr="00057FF9">
        <w:t xml:space="preserve">delivered 30 </w:t>
      </w:r>
      <w:r>
        <w:t xml:space="preserve">information </w:t>
      </w:r>
      <w:r w:rsidRPr="00057FF9">
        <w:t>sessions</w:t>
      </w:r>
      <w:r>
        <w:t>;</w:t>
      </w:r>
      <w:r w:rsidRPr="00057FF9">
        <w:t xml:space="preserve"> </w:t>
      </w:r>
      <w:r>
        <w:t>th</w:t>
      </w:r>
      <w:r w:rsidRPr="00057FF9">
        <w:t>e L</w:t>
      </w:r>
      <w:r>
        <w:t>l</w:t>
      </w:r>
      <w:r w:rsidRPr="00057FF9">
        <w:t>ywydd</w:t>
      </w:r>
      <w:r>
        <w:t xml:space="preserve"> held a </w:t>
      </w:r>
      <w:r w:rsidRPr="00057FF9">
        <w:t>reception</w:t>
      </w:r>
      <w:r>
        <w:t xml:space="preserve"> for local organisations and individuals;</w:t>
      </w:r>
      <w:r w:rsidRPr="00057FF9">
        <w:t xml:space="preserve"> and </w:t>
      </w:r>
      <w:r>
        <w:t xml:space="preserve">we took a </w:t>
      </w:r>
      <w:r w:rsidRPr="00057FF9">
        <w:t>public engagement</w:t>
      </w:r>
      <w:r>
        <w:t xml:space="preserve"> stall to the</w:t>
      </w:r>
      <w:r w:rsidRPr="00057FF9">
        <w:t xml:space="preserve"> Friar’s Walk</w:t>
      </w:r>
      <w:r>
        <w:t xml:space="preserve"> Shopping Centre. </w:t>
      </w:r>
      <w:r w:rsidR="007C08BD">
        <w:t xml:space="preserve"> </w:t>
      </w:r>
    </w:p>
    <w:p w14:paraId="06D22938" w14:textId="74DDEF83" w:rsidR="00346A3B" w:rsidRPr="00346A3B" w:rsidRDefault="00346A3B" w:rsidP="008D58FB">
      <w:pPr>
        <w:pStyle w:val="3Highlight-box"/>
      </w:pPr>
      <w:r>
        <w:lastRenderedPageBreak/>
        <w:t>As part of this week</w:t>
      </w:r>
      <w:r w:rsidRPr="00346A3B">
        <w:t xml:space="preserve">, the Deputy Presiding Officer, Ann Jones AM, had a series of meetings with key local stakeholders to discuss how the Assembly connects with women. </w:t>
      </w:r>
      <w:r w:rsidR="00BE33DE">
        <w:t>T</w:t>
      </w:r>
      <w:r w:rsidRPr="00346A3B">
        <w:t>he Deputy Presiding Officer’s meetings focused on improving how the Assembly engages with women who may fe</w:t>
      </w:r>
      <w:r w:rsidR="00BE33DE">
        <w:t>el disempowered and disengaged</w:t>
      </w:r>
      <w:r w:rsidRPr="00346A3B">
        <w:t xml:space="preserve">. Over the course </w:t>
      </w:r>
      <w:r w:rsidR="00BE33DE">
        <w:t xml:space="preserve">of an </w:t>
      </w:r>
      <w:r w:rsidRPr="00346A3B">
        <w:t xml:space="preserve">afternoon, the Deputy Presiding Officer met with women in refuge at Women’s Aid Newport, refugee women at the Welsh Refugee Council and members of staff at SEWREC. The Deputy Presiding Officer fed back her findings from these meetings to the local Assembly Members and the relevant Cabinet Secretaries. </w:t>
      </w:r>
    </w:p>
    <w:p w14:paraId="031D0960" w14:textId="0EAF7F84" w:rsidR="00BE33DE" w:rsidRDefault="00BE33DE" w:rsidP="008D58FB">
      <w:pPr>
        <w:pStyle w:val="3Highlight-box"/>
      </w:pPr>
      <w:r>
        <w:t>During this event, w</w:t>
      </w:r>
      <w:r w:rsidRPr="00057FF9">
        <w:t>e engaged directly with over 1,900 individuals and established links with numerous schools, youth groups and other organisations</w:t>
      </w:r>
      <w:r>
        <w:t>.</w:t>
      </w:r>
    </w:p>
    <w:p w14:paraId="60DDA608" w14:textId="6BA06697" w:rsidR="00052C90" w:rsidRPr="00052C90" w:rsidRDefault="00EB424A" w:rsidP="00052C90">
      <w:pPr>
        <w:pStyle w:val="2Sub-headings"/>
      </w:pPr>
      <w:r>
        <w:t>Understanding and engaging s</w:t>
      </w:r>
      <w:r w:rsidR="00052C90" w:rsidRPr="00052C90">
        <w:t>essions</w:t>
      </w:r>
    </w:p>
    <w:p w14:paraId="6338F93D" w14:textId="77777777" w:rsidR="004C6E91" w:rsidRDefault="00052C90" w:rsidP="004C6E91">
      <w:pPr>
        <w:pStyle w:val="3Copy-text"/>
        <w:rPr>
          <w:lang w:eastAsia="en-GB"/>
        </w:rPr>
      </w:pPr>
      <w:r>
        <w:t>Our Outreach Team held fifty-three</w:t>
      </w:r>
      <w:r w:rsidRPr="008F5684">
        <w:t xml:space="preserve"> “Understanding and Engaging” sessions for 1,076 delegates over this year, involving a range of groups, including the British Deaf Association, </w:t>
      </w:r>
      <w:r>
        <w:t>Action on Hearing Loss, Citizen</w:t>
      </w:r>
      <w:r w:rsidRPr="008F5684">
        <w:t>s</w:t>
      </w:r>
      <w:r>
        <w:t>’</w:t>
      </w:r>
      <w:r w:rsidRPr="008F5684">
        <w:t xml:space="preserve"> Advice Bureau staff and volunteers, Evangelical Alliance Wales and Gingerbread.</w:t>
      </w:r>
      <w:r w:rsidRPr="008F5684">
        <w:rPr>
          <w:lang w:eastAsia="en-GB"/>
        </w:rPr>
        <w:t xml:space="preserve"> These session introduced attendees </w:t>
      </w:r>
      <w:r w:rsidR="00576475">
        <w:t xml:space="preserve">who might not have necessarily interacted with the Assembly before, </w:t>
      </w:r>
      <w:r w:rsidRPr="008F5684">
        <w:rPr>
          <w:lang w:eastAsia="en-GB"/>
        </w:rPr>
        <w:t>to what the Assembly does, outlining the election of Assembly Members and who their representatives are, how to hold the Welsh Government to account and how they can engage with Members and the work of the Assembly.</w:t>
      </w:r>
    </w:p>
    <w:p w14:paraId="4F75C64F" w14:textId="4C1A7893" w:rsidR="004C6E91" w:rsidRDefault="004C6E91" w:rsidP="006957AC">
      <w:pPr>
        <w:pStyle w:val="2Sub-headings"/>
        <w:rPr>
          <w:lang w:eastAsia="en-GB"/>
        </w:rPr>
      </w:pPr>
      <w:r>
        <w:rPr>
          <w:lang w:eastAsia="en-GB"/>
        </w:rPr>
        <w:t>Education and youth engagement</w:t>
      </w:r>
    </w:p>
    <w:p w14:paraId="74459399" w14:textId="77777777" w:rsidR="004C6E91" w:rsidRDefault="004C6E91" w:rsidP="004C6E91">
      <w:pPr>
        <w:pStyle w:val="3Copy-text"/>
        <w:rPr>
          <w:lang w:eastAsia="en-GB"/>
        </w:rPr>
      </w:pPr>
      <w:r>
        <w:rPr>
          <w:lang w:eastAsia="en-GB"/>
        </w:rPr>
        <w:t xml:space="preserve">Our Education and Youth Engagement team have informed, involved and empowered children and young people to engage with Assembly Business both in our in-house education centre and at schools, colleges and out of school settings across Wales. </w:t>
      </w:r>
    </w:p>
    <w:p w14:paraId="2C3C38B0" w14:textId="0B8A4132" w:rsidR="004C6E91" w:rsidRDefault="004C6E91" w:rsidP="004C6E91">
      <w:pPr>
        <w:pStyle w:val="3Copy-text"/>
        <w:rPr>
          <w:lang w:eastAsia="en-GB"/>
        </w:rPr>
      </w:pPr>
      <w:r>
        <w:rPr>
          <w:lang w:eastAsia="en-GB"/>
        </w:rPr>
        <w:t xml:space="preserve">We have worked with 151 youth groups   in out-of-schools settings, engaging with some groups for the very first time, including 3G's Development Trust, ACT Training - Aberdare Centre, Afasic Cymru – Neath, Barnados Young Carers Flintshire, Blaenau Gwent Youth Forum, Ceredigion Youth Service, Cwmbran Centre for Young People, Deffo!, Digartref Ynys Môn - Community Voice, Newport YMCA, Newport Info Shop, Omidaze Productions, Pembrokeshire Voices for Choices, RCT Community Youth Forum, Swansea Young Single Homeless Project – SYSHP, The Point Young Persons , TrustVale People First, Whizz Kids - Conwy. </w:t>
      </w:r>
    </w:p>
    <w:p w14:paraId="1D578531" w14:textId="77777777" w:rsidR="004C6E91" w:rsidRDefault="004C6E91" w:rsidP="004C6E91">
      <w:pPr>
        <w:pStyle w:val="3Copy-text"/>
        <w:rPr>
          <w:lang w:eastAsia="en-GB"/>
        </w:rPr>
      </w:pPr>
      <w:r>
        <w:rPr>
          <w:lang w:eastAsia="en-GB"/>
        </w:rPr>
        <w:t xml:space="preserve">During this reporting period, a total of 653 sessions and events have been delivered, reaching over 27,000 young people. </w:t>
      </w:r>
    </w:p>
    <w:p w14:paraId="12482FDF" w14:textId="6E4E070F" w:rsidR="008B4636" w:rsidRPr="008D58FB" w:rsidRDefault="008B4636" w:rsidP="008D58FB">
      <w:pPr>
        <w:pStyle w:val="3Highlight-box"/>
        <w:rPr>
          <w:rFonts w:ascii="Montserrat" w:hAnsi="Montserrat"/>
          <w:b/>
          <w:lang w:eastAsia="en-GB"/>
        </w:rPr>
      </w:pPr>
      <w:r w:rsidRPr="008D58FB">
        <w:rPr>
          <w:rFonts w:ascii="Montserrat" w:hAnsi="Montserrat"/>
          <w:b/>
          <w:lang w:eastAsia="en-GB"/>
        </w:rPr>
        <w:lastRenderedPageBreak/>
        <w:t>CASE STUDY: Digartref Ynys Môn</w:t>
      </w:r>
    </w:p>
    <w:p w14:paraId="4E796F7D" w14:textId="698A78A7" w:rsidR="00C6176F" w:rsidRDefault="004C6E91" w:rsidP="008D58FB">
      <w:pPr>
        <w:pStyle w:val="3Highlight-box"/>
        <w:rPr>
          <w:lang w:eastAsia="en-GB"/>
        </w:rPr>
      </w:pPr>
      <w:r>
        <w:rPr>
          <w:lang w:eastAsia="en-GB"/>
        </w:rPr>
        <w:t>A group of ten young people, supported by homelessness charity Digartref on Ynys Môn have been working with our outreach team as a part of their Community Voice project. As part of the project the group, aged between 16-25 years old, took part in a Wales 2016 election workshop, held a mock election, attended the polling station on Election Day and took part in two full workshops at the Assembly in Cardiff.</w:t>
      </w:r>
    </w:p>
    <w:p w14:paraId="00438985" w14:textId="016FA437" w:rsidR="00C6176F" w:rsidRDefault="00C6176F">
      <w:pPr>
        <w:spacing w:before="0" w:after="160" w:line="259" w:lineRule="auto"/>
        <w:rPr>
          <w:color w:val="414042"/>
          <w:kern w:val="24"/>
          <w:lang w:eastAsia="en-GB"/>
        </w:rPr>
      </w:pPr>
    </w:p>
    <w:p w14:paraId="23B6EA6D" w14:textId="77777777" w:rsidR="004C6E91" w:rsidRPr="008D58FB" w:rsidRDefault="004C6E91" w:rsidP="008D58FB">
      <w:pPr>
        <w:pStyle w:val="3Highlight-box"/>
        <w:rPr>
          <w:rFonts w:ascii="Montserrat" w:hAnsi="Montserrat"/>
          <w:b/>
          <w:lang w:eastAsia="en-GB"/>
        </w:rPr>
      </w:pPr>
      <w:r w:rsidRPr="008D58FB">
        <w:rPr>
          <w:rFonts w:ascii="Montserrat" w:hAnsi="Montserrat"/>
          <w:b/>
          <w:lang w:eastAsia="en-GB"/>
        </w:rPr>
        <w:t>CASE STUDY:  Black History Month</w:t>
      </w:r>
    </w:p>
    <w:p w14:paraId="60DE987F" w14:textId="6575528D" w:rsidR="00C6176F" w:rsidRDefault="004C6E91" w:rsidP="009F5174">
      <w:pPr>
        <w:pStyle w:val="3Highlight-box"/>
        <w:rPr>
          <w:lang w:eastAsia="en-GB"/>
        </w:rPr>
      </w:pPr>
      <w:r>
        <w:rPr>
          <w:lang w:eastAsia="en-GB"/>
        </w:rPr>
        <w:t>In October 2016 young people from Grangetown and Butetown Youth Pavilion visited the Assembly and spent time asking questions to the Llywydd as part of Black History Month.</w:t>
      </w:r>
    </w:p>
    <w:p w14:paraId="60ECDEC3" w14:textId="77777777" w:rsidR="00C6176F" w:rsidRDefault="00C6176F">
      <w:pPr>
        <w:spacing w:before="0" w:after="160" w:line="259" w:lineRule="auto"/>
        <w:rPr>
          <w:color w:val="414042"/>
          <w:kern w:val="24"/>
          <w:lang w:eastAsia="en-GB"/>
        </w:rPr>
      </w:pPr>
      <w:r>
        <w:rPr>
          <w:lang w:eastAsia="en-GB"/>
        </w:rPr>
        <w:br w:type="page"/>
      </w:r>
    </w:p>
    <w:p w14:paraId="7A24EC2F" w14:textId="77777777" w:rsidR="00052C90" w:rsidRPr="00A01C2D" w:rsidRDefault="00052C90" w:rsidP="00052C90">
      <w:pPr>
        <w:pStyle w:val="2Sub-headings"/>
      </w:pPr>
      <w:r>
        <w:lastRenderedPageBreak/>
        <w:t xml:space="preserve">Promoting diversity and inclusion </w:t>
      </w:r>
    </w:p>
    <w:p w14:paraId="7585B3F1" w14:textId="77777777" w:rsidR="00052C90" w:rsidRDefault="00052C90" w:rsidP="00DB54AE">
      <w:pPr>
        <w:pStyle w:val="3Copy-text"/>
      </w:pPr>
      <w:r>
        <w:t xml:space="preserve">As part of our commitment to being an inclusive organisation we continue to promote diversity and inclusion to our staff and to the public via events, social media and campaigns. </w:t>
      </w:r>
    </w:p>
    <w:p w14:paraId="255521E8" w14:textId="45A1B589" w:rsidR="00052C90" w:rsidRDefault="00052C90" w:rsidP="00DB54AE">
      <w:pPr>
        <w:pStyle w:val="3Copy-text"/>
      </w:pPr>
      <w:r w:rsidRPr="007F1CA7">
        <w:t xml:space="preserve">We have continued to use social media to reach a wider audience, promoting a diverse range of campaigns and key dates in the diversity and inclusion calendar, including Stonewall’s No Bystanders anti-bullying campaign during Anti-bullying week; our Diversity and Inclusion week; LGBT History Month; Holocaust memorial Day; Black History Month; Disability Access Day; World Autism Awareness Day; celebrating external recognition that we have received; a campaign to end violence against women; Pride Cymru; </w:t>
      </w:r>
      <w:r w:rsidR="000327D2">
        <w:t xml:space="preserve">Trans Day of Visibility; </w:t>
      </w:r>
      <w:r w:rsidRPr="007F1CA7">
        <w:t>youth engagement; and Swansea Sparkle.</w:t>
      </w:r>
    </w:p>
    <w:p w14:paraId="4E0296C6" w14:textId="07917DAC" w:rsidR="00052C90" w:rsidRPr="00C6176F" w:rsidRDefault="00052C90" w:rsidP="00C6176F">
      <w:pPr>
        <w:pStyle w:val="3Copy-text"/>
      </w:pPr>
      <w:r w:rsidRPr="00C6176F">
        <w:t>We have encouraged people to think of the Assembly as an inclusive organisation, encouraging them to get involved with the</w:t>
      </w:r>
      <w:r w:rsidR="00922F74" w:rsidRPr="00C6176F">
        <w:t xml:space="preserve"> work of the Assembly</w:t>
      </w:r>
      <w:r w:rsidRPr="00C6176F">
        <w:t xml:space="preserve"> and to consider the Assembly as a potential employer of choice.</w:t>
      </w:r>
    </w:p>
    <w:p w14:paraId="545F0D6F" w14:textId="77777777" w:rsidR="00052C90" w:rsidRPr="00C6176F" w:rsidRDefault="00052C90" w:rsidP="00C6176F">
      <w:pPr>
        <w:pStyle w:val="3Copy-text"/>
      </w:pPr>
      <w:r w:rsidRPr="00C6176F">
        <w:t>Here are some of the highlights of our promotional work:</w:t>
      </w:r>
    </w:p>
    <w:p w14:paraId="5D933D8E" w14:textId="2F60A0A0" w:rsidR="00052C90" w:rsidRPr="00A01C2D" w:rsidRDefault="00052C90" w:rsidP="00FB7171">
      <w:pPr>
        <w:pStyle w:val="4Bulletlist"/>
      </w:pPr>
      <w:r w:rsidRPr="00A01C2D">
        <w:t>We attend Pride Cymru e</w:t>
      </w:r>
      <w:r>
        <w:t>very</w:t>
      </w:r>
      <w:r w:rsidRPr="00A01C2D">
        <w:t xml:space="preserve"> year</w:t>
      </w:r>
      <w:r>
        <w:t>,</w:t>
      </w:r>
      <w:r w:rsidRPr="00A01C2D">
        <w:t xml:space="preserve"> as part of our summer events programme. In 2016</w:t>
      </w:r>
      <w:r>
        <w:t>,</w:t>
      </w:r>
      <w:r w:rsidRPr="00A01C2D">
        <w:t xml:space="preserve"> we were proud to march alongside many other organisations and individuals as part of the official Pride parade before welcoming attendees to our</w:t>
      </w:r>
      <w:r w:rsidR="00DB54AE">
        <w:t xml:space="preserve"> outreach bus on the main site</w:t>
      </w:r>
      <w:r w:rsidR="00922F74">
        <w:t>.</w:t>
      </w:r>
    </w:p>
    <w:p w14:paraId="74AD4F71" w14:textId="75682AEF" w:rsidR="00052C90" w:rsidRPr="006F1F00" w:rsidRDefault="00052C90" w:rsidP="00FB7171">
      <w:pPr>
        <w:pStyle w:val="4Bulletlist"/>
      </w:pPr>
      <w:r w:rsidRPr="006F1F00">
        <w:t>Alongside other iconic buildings across the world, the Senedd was lit purple on 8 March to mark International Women’s Day 2017.</w:t>
      </w:r>
      <w:r>
        <w:t xml:space="preserve"> W</w:t>
      </w:r>
      <w:r w:rsidRPr="00315E9E">
        <w:t xml:space="preserve">e </w:t>
      </w:r>
      <w:r>
        <w:t xml:space="preserve">also </w:t>
      </w:r>
      <w:r w:rsidRPr="00315E9E">
        <w:t>delivered an event in partnership with Wales and West Cross Government Women’s Network</w:t>
      </w:r>
      <w:r w:rsidR="00922F74">
        <w:t>,</w:t>
      </w:r>
      <w:r w:rsidRPr="00315E9E">
        <w:t xml:space="preserve"> which deliver</w:t>
      </w:r>
      <w:r>
        <w:t xml:space="preserve">ed </w:t>
      </w:r>
      <w:r w:rsidRPr="00315E9E">
        <w:t xml:space="preserve">a series of </w:t>
      </w:r>
      <w:r w:rsidR="00922F74">
        <w:t>‘</w:t>
      </w:r>
      <w:r w:rsidRPr="00315E9E">
        <w:t>power talks</w:t>
      </w:r>
      <w:r w:rsidR="00922F74">
        <w:t>’</w:t>
      </w:r>
      <w:r w:rsidRPr="00315E9E">
        <w:t xml:space="preserve">, a lunchtime reception and networking fayre and an evening drinks reception in the Senedd. The event </w:t>
      </w:r>
      <w:r w:rsidR="000327D2">
        <w:t>involved up to</w:t>
      </w:r>
      <w:r w:rsidR="006957AC">
        <w:t xml:space="preserve"> </w:t>
      </w:r>
      <w:r w:rsidR="000327D2">
        <w:t>one hundred and fifty</w:t>
      </w:r>
      <w:r w:rsidR="00DB54AE">
        <w:t xml:space="preserve"> women</w:t>
      </w:r>
      <w:r w:rsidR="00922F74">
        <w:t>.</w:t>
      </w:r>
    </w:p>
    <w:p w14:paraId="37CDA09B" w14:textId="4C310A76" w:rsidR="00C6176F" w:rsidRDefault="00052C90" w:rsidP="00FB7171">
      <w:pPr>
        <w:pStyle w:val="4Bulletlist"/>
      </w:pPr>
      <w:r w:rsidRPr="00315E9E">
        <w:t xml:space="preserve">Rhondda and Pontyclun </w:t>
      </w:r>
      <w:r>
        <w:t>H</w:t>
      </w:r>
      <w:r w:rsidRPr="00315E9E">
        <w:t xml:space="preserve">ard of </w:t>
      </w:r>
      <w:r>
        <w:t>H</w:t>
      </w:r>
      <w:r w:rsidRPr="00315E9E">
        <w:t xml:space="preserve">earing </w:t>
      </w:r>
      <w:r>
        <w:t>G</w:t>
      </w:r>
      <w:r w:rsidR="0014150F">
        <w:t>roups, Sense Cymru</w:t>
      </w:r>
      <w:r w:rsidRPr="00315E9E">
        <w:t xml:space="preserve"> and service users from the National Autistic Society Cymru</w:t>
      </w:r>
      <w:r>
        <w:t xml:space="preserve"> were invited to</w:t>
      </w:r>
      <w:r w:rsidRPr="00315E9E">
        <w:t xml:space="preserve"> </w:t>
      </w:r>
      <w:r>
        <w:t>visit</w:t>
      </w:r>
      <w:r w:rsidRPr="00315E9E">
        <w:t xml:space="preserve"> the Senedd over the weekend of Disabled Access Day to celebrate the Assembly as a welcomi</w:t>
      </w:r>
      <w:r w:rsidR="00DB54AE">
        <w:t>ng and accessible venue for all</w:t>
      </w:r>
      <w:r w:rsidR="00922F74">
        <w:t>.</w:t>
      </w:r>
    </w:p>
    <w:p w14:paraId="106B3054" w14:textId="77777777" w:rsidR="00C6176F" w:rsidRDefault="00C6176F">
      <w:pPr>
        <w:spacing w:before="0" w:after="160" w:line="259" w:lineRule="auto"/>
        <w:rPr>
          <w:rFonts w:eastAsia="Lucida Sans" w:cs="Times New Roman"/>
          <w:color w:val="414042"/>
          <w:kern w:val="24"/>
        </w:rPr>
      </w:pPr>
      <w:r>
        <w:br w:type="page"/>
      </w:r>
    </w:p>
    <w:p w14:paraId="66972C34" w14:textId="773DF856" w:rsidR="00052C90" w:rsidRPr="005B3BB6" w:rsidRDefault="00052C90" w:rsidP="00FB7171">
      <w:pPr>
        <w:pStyle w:val="4Bulletlist"/>
      </w:pPr>
      <w:r w:rsidRPr="005B3BB6">
        <w:lastRenderedPageBreak/>
        <w:t>The Llywydd Elin Jones AM, Joyce Watson AM Assembly Commissioner with responsibility for equality and Andrew White, Director of Stonewall Cymru</w:t>
      </w:r>
      <w:r w:rsidR="0014150F">
        <w:t>,</w:t>
      </w:r>
      <w:r w:rsidRPr="005B3BB6">
        <w:t xml:space="preserve"> promoted </w:t>
      </w:r>
      <w:r>
        <w:t>‘</w:t>
      </w:r>
      <w:r w:rsidRPr="005B3BB6">
        <w:t>By Your Side</w:t>
      </w:r>
      <w:r>
        <w:t>’</w:t>
      </w:r>
      <w:r w:rsidRPr="005B3BB6">
        <w:t xml:space="preserve">, Stonewall’s campaign asking LGBT advocates and allies to pledge their commitment to continuing </w:t>
      </w:r>
      <w:r w:rsidR="00DB54AE">
        <w:t>to work towards LGBT inclusion</w:t>
      </w:r>
      <w:r w:rsidR="00922F74">
        <w:t>.</w:t>
      </w:r>
      <w:r w:rsidRPr="005B3BB6">
        <w:t xml:space="preserve"> </w:t>
      </w:r>
    </w:p>
    <w:p w14:paraId="7B29C9B9" w14:textId="0CA4B18A" w:rsidR="00C6176F" w:rsidRDefault="00052C90" w:rsidP="00C6176F">
      <w:pPr>
        <w:pStyle w:val="4Bulletlist"/>
      </w:pPr>
      <w:r w:rsidRPr="005B3BB6">
        <w:t>We celebrated Black History Month in October by</w:t>
      </w:r>
      <w:r>
        <w:t xml:space="preserve"> holding a series of events within the Assembly, attended community events and wrote </w:t>
      </w:r>
      <w:r w:rsidRPr="005B3BB6">
        <w:t>blog articles</w:t>
      </w:r>
      <w:r>
        <w:t xml:space="preserve"> </w:t>
      </w:r>
      <w:r w:rsidRPr="005B3BB6">
        <w:t xml:space="preserve">in order to promote </w:t>
      </w:r>
      <w:r>
        <w:t xml:space="preserve">engagement with </w:t>
      </w:r>
      <w:r w:rsidRPr="005B3BB6">
        <w:t xml:space="preserve">the Assembly to BME people. </w:t>
      </w:r>
    </w:p>
    <w:p w14:paraId="2D2437DE" w14:textId="789123F7" w:rsidR="0011457F" w:rsidRPr="005B3BB6" w:rsidRDefault="0011457F" w:rsidP="0011457F">
      <w:pPr>
        <w:pStyle w:val="3Copy-text"/>
      </w:pPr>
      <w:r>
        <w:rPr>
          <w:noProof/>
          <w:lang w:eastAsia="en-GB"/>
        </w:rPr>
        <w:drawing>
          <wp:inline distT="0" distB="0" distL="0" distR="0" wp14:anchorId="731DACD8" wp14:editId="62A4A58A">
            <wp:extent cx="6120130" cy="4589780"/>
            <wp:effectExtent l="0" t="0" r="0" b="127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589780"/>
                    </a:xfrm>
                    <a:prstGeom prst="rect">
                      <a:avLst/>
                    </a:prstGeom>
                    <a:noFill/>
                  </pic:spPr>
                </pic:pic>
              </a:graphicData>
            </a:graphic>
          </wp:inline>
        </w:drawing>
      </w:r>
    </w:p>
    <w:p w14:paraId="0A9F9D5C" w14:textId="77777777" w:rsidR="0011457F" w:rsidRDefault="0011457F">
      <w:pPr>
        <w:spacing w:before="0" w:after="160" w:line="259" w:lineRule="auto"/>
        <w:rPr>
          <w:rFonts w:ascii="Montserrat" w:eastAsiaTheme="majorEastAsia" w:hAnsi="Montserrat" w:cstheme="majorBidi"/>
          <w:bCs/>
          <w:color w:val="34A3AE"/>
          <w:spacing w:val="10"/>
          <w:kern w:val="32"/>
          <w:sz w:val="28"/>
          <w:szCs w:val="26"/>
        </w:rPr>
      </w:pPr>
      <w:r>
        <w:br w:type="page"/>
      </w:r>
    </w:p>
    <w:p w14:paraId="5D97BAD9" w14:textId="4CE50FE5" w:rsidR="00052C90" w:rsidRDefault="00EB424A" w:rsidP="00052C90">
      <w:pPr>
        <w:pStyle w:val="2Sub-headings"/>
      </w:pPr>
      <w:r>
        <w:lastRenderedPageBreak/>
        <w:t>Visitor a</w:t>
      </w:r>
      <w:r w:rsidR="00052C90">
        <w:t xml:space="preserve">ttraction </w:t>
      </w:r>
    </w:p>
    <w:p w14:paraId="20E7FE9C" w14:textId="67131EAB" w:rsidR="00052C90" w:rsidRPr="006F1F00" w:rsidRDefault="00052C90" w:rsidP="00DB54AE">
      <w:pPr>
        <w:pStyle w:val="3Copy-text"/>
      </w:pPr>
      <w:r>
        <w:t xml:space="preserve">The Assembly estate continues to be a popular visitor attraction. During this reporting period, we welcomed nearly </w:t>
      </w:r>
      <w:r w:rsidR="00173A53">
        <w:t>83,680</w:t>
      </w:r>
      <w:r w:rsidR="001A37B0">
        <w:t xml:space="preserve"> </w:t>
      </w:r>
      <w:r>
        <w:t xml:space="preserve">visitors to </w:t>
      </w:r>
      <w:r w:rsidR="00173A53">
        <w:t>the Senedd and nearly 82,962 people to the Pierhead Building.</w:t>
      </w:r>
      <w:r w:rsidR="006957AC">
        <w:t xml:space="preserve"> </w:t>
      </w:r>
      <w:r>
        <w:t>People have visited from all over the world to enjoy our buildings, to watch Assembly Business, h</w:t>
      </w:r>
      <w:r w:rsidR="0014150F">
        <w:t>ave a tour, attend an event</w:t>
      </w:r>
      <w:r>
        <w:t xml:space="preserve"> or to visit our café and shop. We are listed on TripAdvisor as one of the top visitor attractions in Cardiff and we are proud to have received their Certificate of Excellence. </w:t>
      </w:r>
    </w:p>
    <w:p w14:paraId="7F1F7B90" w14:textId="6B94688C" w:rsidR="00E907D8" w:rsidRDefault="00052C90" w:rsidP="00DB54AE">
      <w:pPr>
        <w:pStyle w:val="3Copy-text"/>
        <w:rPr>
          <w:rFonts w:eastAsia="Cynulliad Sans" w:cs="Times New Roman"/>
        </w:rPr>
      </w:pPr>
      <w:r w:rsidRPr="00CD7133">
        <w:rPr>
          <w:rFonts w:eastAsia="Cynulliad Sans" w:cs="Times New Roman"/>
          <w:lang w:eastAsia="en-GB"/>
        </w:rPr>
        <w:t xml:space="preserve">We promote the Assembly as a </w:t>
      </w:r>
      <w:r w:rsidRPr="00CD7133">
        <w:rPr>
          <w:rFonts w:eastAsia="Cynulliad Sans" w:cs="Times New Roman"/>
        </w:rPr>
        <w:t>visitor attraction through connections with the local Cardiff Bay Waterfront Partners Group, through social media, through our outreach work and through Euan’s Guide, a listings and review website that helps disabled people and their families know which venues are accessible.</w:t>
      </w:r>
    </w:p>
    <w:p w14:paraId="377BB952" w14:textId="77777777" w:rsidR="00E907D8" w:rsidRDefault="00E907D8">
      <w:pPr>
        <w:rPr>
          <w:rFonts w:eastAsia="Cynulliad Sans" w:cs="Times New Roman"/>
          <w:color w:val="414042"/>
          <w:kern w:val="24"/>
        </w:rPr>
      </w:pPr>
      <w:r>
        <w:rPr>
          <w:rFonts w:eastAsia="Cynulliad Sans" w:cs="Times New Roman"/>
        </w:rPr>
        <w:br w:type="page"/>
      </w:r>
    </w:p>
    <w:p w14:paraId="75D43BCB" w14:textId="43D69EFD" w:rsidR="00052C90" w:rsidRPr="008D58FB" w:rsidRDefault="00052C90" w:rsidP="008D58FB">
      <w:pPr>
        <w:pStyle w:val="2Sub-section-heading"/>
      </w:pPr>
      <w:r w:rsidRPr="008D58FB">
        <w:lastRenderedPageBreak/>
        <w:t>Feedback from visitors</w:t>
      </w:r>
      <w:r w:rsidR="00B022D0" w:rsidRPr="008D58FB">
        <w:t>,</w:t>
      </w:r>
      <w:r w:rsidRPr="008D58FB">
        <w:t xml:space="preserve"> which included a group</w:t>
      </w:r>
      <w:r w:rsidR="00B022D0" w:rsidRPr="008D58FB">
        <w:t xml:space="preserve"> of asylum seekers and refugees</w:t>
      </w:r>
      <w:r w:rsidRPr="008D58FB">
        <w:t xml:space="preserve"> and a group of disabled children and young people:</w:t>
      </w:r>
    </w:p>
    <w:p w14:paraId="6A06DDF1" w14:textId="001AC395" w:rsidR="00052C90" w:rsidRDefault="00052C90" w:rsidP="008D58FB">
      <w:pPr>
        <w:pStyle w:val="Style1"/>
      </w:pPr>
      <w:r w:rsidRPr="00E907D8">
        <w:t>As a group that suffer hearing loss it's not always easy when we visit places, you made us feel so welcome and t</w:t>
      </w:r>
      <w:r w:rsidR="00B022D0" w:rsidRPr="00E907D8">
        <w:t>hanks to the equipment provided</w:t>
      </w:r>
      <w:r w:rsidRPr="00E907D8">
        <w:t xml:space="preserve">, we were all able to hear. A BIG thank you from all the group, we hope to </w:t>
      </w:r>
      <w:r w:rsidR="008D58FB" w:rsidRPr="00E907D8">
        <w:t>visit again in the near future.</w:t>
      </w:r>
    </w:p>
    <w:p w14:paraId="579C6218" w14:textId="4CFE6FDC" w:rsidR="00E907D8" w:rsidRPr="00E907D8" w:rsidRDefault="00B05EBE" w:rsidP="00E907D8">
      <w:pPr>
        <w:pStyle w:val="5Block-quote"/>
      </w:pPr>
      <w:r>
        <w:pict w14:anchorId="581627C2">
          <v:rect id="_x0000_i1030" style="width:0;height:1.5pt" o:hralign="center" o:hrstd="t" o:hr="t" fillcolor="#a0a0a0" stroked="f"/>
        </w:pict>
      </w:r>
    </w:p>
    <w:p w14:paraId="247D68DA" w14:textId="44DB58F5" w:rsidR="00052C90" w:rsidRDefault="00052C90" w:rsidP="00E907D8">
      <w:pPr>
        <w:pStyle w:val="Style1"/>
      </w:pPr>
      <w:r w:rsidRPr="00E907D8">
        <w:t xml:space="preserve">Many, many thanks. Our tour guide was brilliant, pitched it perfectly, engaged everyone and was spot on with timing. </w:t>
      </w:r>
      <w:r w:rsidR="008D58FB" w:rsidRPr="00E907D8">
        <w:t>Very impressive. They loved it!</w:t>
      </w:r>
    </w:p>
    <w:p w14:paraId="433CB6F6" w14:textId="14ED4F4A" w:rsidR="00E907D8" w:rsidRPr="00E907D8" w:rsidRDefault="00B05EBE" w:rsidP="00E907D8">
      <w:pPr>
        <w:pStyle w:val="Style1"/>
        <w:numPr>
          <w:ilvl w:val="0"/>
          <w:numId w:val="0"/>
        </w:numPr>
        <w:ind w:left="1418"/>
      </w:pPr>
      <w:r>
        <w:pict w14:anchorId="153B09A2">
          <v:rect id="_x0000_i1031" style="width:0;height:1.5pt" o:hralign="center" o:hrstd="t" o:hr="t" fillcolor="#a0a0a0" stroked="f"/>
        </w:pict>
      </w:r>
    </w:p>
    <w:p w14:paraId="7A2C4829" w14:textId="036FEF53" w:rsidR="00052C90" w:rsidRDefault="008D58FB" w:rsidP="00E907D8">
      <w:pPr>
        <w:pStyle w:val="Style1"/>
      </w:pPr>
      <w:r w:rsidRPr="00E907D8">
        <w:t>S</w:t>
      </w:r>
      <w:r w:rsidR="00052C90" w:rsidRPr="00E907D8">
        <w:t>ervice received was “o</w:t>
      </w:r>
      <w:r w:rsidRPr="00E907D8">
        <w:t>ver and beyond the call of duty</w:t>
      </w:r>
    </w:p>
    <w:p w14:paraId="32E94D7D" w14:textId="0CDF0443" w:rsidR="00E907D8" w:rsidRPr="00E907D8" w:rsidRDefault="00B05EBE" w:rsidP="00E907D8">
      <w:pPr>
        <w:pStyle w:val="Style1"/>
        <w:numPr>
          <w:ilvl w:val="0"/>
          <w:numId w:val="0"/>
        </w:numPr>
        <w:ind w:left="1418"/>
      </w:pPr>
      <w:r>
        <w:pict w14:anchorId="245931FA">
          <v:rect id="_x0000_i1032" style="width:0;height:1.5pt" o:hralign="center" o:hrstd="t" o:hr="t" fillcolor="#a0a0a0" stroked="f"/>
        </w:pict>
      </w:r>
    </w:p>
    <w:p w14:paraId="0FD94C5A" w14:textId="43EF567E" w:rsidR="00052C90" w:rsidRDefault="00052C90" w:rsidP="00E907D8">
      <w:pPr>
        <w:pStyle w:val="Style1"/>
      </w:pPr>
      <w:r w:rsidRPr="00E907D8">
        <w:t>our tour guide was great. He used appropriate content and speed in his delivery. However right from the security check at the entrance, a</w:t>
      </w:r>
      <w:r w:rsidR="008D58FB" w:rsidRPr="00E907D8">
        <w:t>ll members of staff were great.</w:t>
      </w:r>
    </w:p>
    <w:p w14:paraId="74B3A7CE" w14:textId="43C33791" w:rsidR="00E907D8" w:rsidRPr="00E907D8" w:rsidRDefault="00B05EBE" w:rsidP="00E907D8">
      <w:pPr>
        <w:pStyle w:val="Style1"/>
        <w:numPr>
          <w:ilvl w:val="0"/>
          <w:numId w:val="0"/>
        </w:numPr>
        <w:ind w:left="1418"/>
      </w:pPr>
      <w:r>
        <w:pict w14:anchorId="21BF5240">
          <v:rect id="_x0000_i1033" style="width:0;height:1.5pt" o:hralign="center" o:hrstd="t" o:hr="t" fillcolor="#a0a0a0" stroked="f"/>
        </w:pict>
      </w:r>
    </w:p>
    <w:p w14:paraId="4C037379" w14:textId="7E491631" w:rsidR="00C6176F" w:rsidRPr="00E907D8" w:rsidRDefault="00052C90" w:rsidP="00E907D8">
      <w:pPr>
        <w:pStyle w:val="Style1"/>
      </w:pPr>
      <w:r w:rsidRPr="00E907D8">
        <w:t xml:space="preserve">We visited with a group of young people, all with additional needs. Accessibility is fantastic, and our tour guide was excellent. </w:t>
      </w:r>
      <w:r w:rsidR="008D58FB" w:rsidRPr="00E907D8">
        <w:t>Thank you for this opportunity.</w:t>
      </w:r>
    </w:p>
    <w:p w14:paraId="57C55FDC" w14:textId="77777777" w:rsidR="00C6176F" w:rsidRDefault="00C6176F">
      <w:pPr>
        <w:spacing w:before="0" w:after="160" w:line="259" w:lineRule="auto"/>
      </w:pPr>
      <w:r>
        <w:br w:type="page"/>
      </w:r>
    </w:p>
    <w:p w14:paraId="47DD812F" w14:textId="17B1BCBF" w:rsidR="00C6176F" w:rsidRPr="00E907D8" w:rsidRDefault="00052C90" w:rsidP="00E907D8">
      <w:pPr>
        <w:pStyle w:val="3Highlight-box"/>
        <w:rPr>
          <w:rFonts w:ascii="Montserrat" w:hAnsi="Montserrat"/>
          <w:b/>
        </w:rPr>
      </w:pPr>
      <w:r w:rsidRPr="00E907D8">
        <w:rPr>
          <w:rFonts w:ascii="Montserrat" w:hAnsi="Montserrat"/>
          <w:b/>
        </w:rPr>
        <w:lastRenderedPageBreak/>
        <w:t>CASE STUDY: Senedd Family Fun Day</w:t>
      </w:r>
    </w:p>
    <w:p w14:paraId="18A2A89B" w14:textId="5A22AFE8" w:rsidR="00C6176F" w:rsidRDefault="00C6176F" w:rsidP="009F5174">
      <w:pPr>
        <w:pStyle w:val="3Highlight-box"/>
      </w:pPr>
      <w:r>
        <w:rPr>
          <w:noProof/>
          <w:lang w:eastAsia="en-GB"/>
        </w:rPr>
        <w:drawing>
          <wp:inline distT="0" distB="0" distL="0" distR="0" wp14:anchorId="7FC3389C" wp14:editId="462E5B40">
            <wp:extent cx="5976000" cy="335444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edd fun day2.png"/>
                    <pic:cNvPicPr/>
                  </pic:nvPicPr>
                  <pic:blipFill>
                    <a:blip r:embed="rId17">
                      <a:extLst>
                        <a:ext uri="{28A0092B-C50C-407E-A947-70E740481C1C}">
                          <a14:useLocalDpi xmlns:a14="http://schemas.microsoft.com/office/drawing/2010/main" val="0"/>
                        </a:ext>
                      </a:extLst>
                    </a:blip>
                    <a:stretch>
                      <a:fillRect/>
                    </a:stretch>
                  </pic:blipFill>
                  <pic:spPr>
                    <a:xfrm>
                      <a:off x="0" y="0"/>
                      <a:ext cx="5976000" cy="3354446"/>
                    </a:xfrm>
                    <a:prstGeom prst="rect">
                      <a:avLst/>
                    </a:prstGeom>
                  </pic:spPr>
                </pic:pic>
              </a:graphicData>
            </a:graphic>
          </wp:inline>
        </w:drawing>
      </w:r>
    </w:p>
    <w:p w14:paraId="0128AF72" w14:textId="447A0646" w:rsidR="00BD1955" w:rsidRDefault="00052C90" w:rsidP="009F5174">
      <w:pPr>
        <w:pStyle w:val="3Highlight-box"/>
      </w:pPr>
      <w:r>
        <w:t>Over the</w:t>
      </w:r>
      <w:r w:rsidRPr="00105572">
        <w:t xml:space="preserve"> August bank holiday weekend 2016</w:t>
      </w:r>
      <w:r>
        <w:t xml:space="preserve">, we hosted </w:t>
      </w:r>
      <w:r w:rsidRPr="00105572">
        <w:t>Senedd Summer Fun</w:t>
      </w:r>
      <w:r>
        <w:t xml:space="preserve">, </w:t>
      </w:r>
      <w:r w:rsidRPr="00105572">
        <w:t xml:space="preserve">a free event for people of all ages to enjoy. During the event we had a soft play area, Lego station, arts and crafts, choirs singing, Techniquest offering fun scientific games and activities, there were tours of the building running every 30 minutes, </w:t>
      </w:r>
      <w:r w:rsidR="00953760">
        <w:t xml:space="preserve">and </w:t>
      </w:r>
      <w:r w:rsidRPr="00105572">
        <w:t>discussing the work of the Assembly. We also commissioned a local community art group to create an exhibition to be shown in the Sened</w:t>
      </w:r>
      <w:r w:rsidR="00953760">
        <w:t>d for the duration of the event;</w:t>
      </w:r>
      <w:r w:rsidRPr="00105572">
        <w:t xml:space="preserve"> the exhibition focussed on Wales, Welsh culture, history and what it is like to live in Wales today.</w:t>
      </w:r>
      <w:r>
        <w:t xml:space="preserve"> </w:t>
      </w:r>
      <w:r w:rsidRPr="00105572">
        <w:t>There were 3,50</w:t>
      </w:r>
      <w:r w:rsidR="00467086">
        <w:t>0 attendees over the three days which saw us attract local families to the Assembly who might have not ordinarily visited our buildings.</w:t>
      </w:r>
    </w:p>
    <w:p w14:paraId="184F8220" w14:textId="77777777" w:rsidR="00BD1955" w:rsidRDefault="00BD1955">
      <w:pPr>
        <w:spacing w:before="0" w:after="160" w:line="259" w:lineRule="auto"/>
        <w:rPr>
          <w:color w:val="414042"/>
          <w:kern w:val="24"/>
        </w:rPr>
      </w:pPr>
      <w:r>
        <w:br w:type="page"/>
      </w:r>
    </w:p>
    <w:p w14:paraId="383AE957" w14:textId="77777777" w:rsidR="004C6E91" w:rsidRDefault="004C6E91" w:rsidP="004C6E91">
      <w:pPr>
        <w:pStyle w:val="2Sub-headings"/>
      </w:pPr>
      <w:r>
        <w:lastRenderedPageBreak/>
        <w:t>Online Accessibility</w:t>
      </w:r>
    </w:p>
    <w:p w14:paraId="471674F7" w14:textId="77777777" w:rsidR="004C6E91" w:rsidRPr="00074A02" w:rsidRDefault="004C6E91" w:rsidP="004C6E91">
      <w:pPr>
        <w:pStyle w:val="3Copy-text"/>
      </w:pPr>
      <w:r w:rsidRPr="00074A02">
        <w:t>Following an accessibility audit of our website, we</w:t>
      </w:r>
      <w:r>
        <w:t xml:space="preserve"> have</w:t>
      </w:r>
      <w:r w:rsidRPr="00074A02">
        <w:t xml:space="preserve"> made a </w:t>
      </w:r>
      <w:r>
        <w:t>number</w:t>
      </w:r>
      <w:r w:rsidRPr="00074A02">
        <w:t xml:space="preserve"> of accessibil</w:t>
      </w:r>
      <w:r>
        <w:t>ity improvements that</w:t>
      </w:r>
      <w:r w:rsidRPr="00074A02">
        <w:t xml:space="preserve"> </w:t>
      </w:r>
      <w:r>
        <w:t>a</w:t>
      </w:r>
      <w:r w:rsidRPr="00074A02">
        <w:t>re aimed at improving the overall transparency of our website information</w:t>
      </w:r>
      <w:r>
        <w:t xml:space="preserve">. These changes </w:t>
      </w:r>
      <w:r w:rsidRPr="00074A02">
        <w:t>include:</w:t>
      </w:r>
    </w:p>
    <w:p w14:paraId="4391F0B6" w14:textId="77777777" w:rsidR="004C6E91" w:rsidRPr="00074A02" w:rsidRDefault="004C6E91" w:rsidP="004C6E91">
      <w:pPr>
        <w:pStyle w:val="4Bulletlist"/>
      </w:pPr>
      <w:r>
        <w:t>r</w:t>
      </w:r>
      <w:r w:rsidRPr="00074A02">
        <w:t>edesign</w:t>
      </w:r>
      <w:r>
        <w:t>ing</w:t>
      </w:r>
      <w:r w:rsidRPr="00074A02">
        <w:t xml:space="preserve"> </w:t>
      </w:r>
      <w:r>
        <w:t xml:space="preserve">the </w:t>
      </w:r>
      <w:r w:rsidRPr="00074A02">
        <w:t xml:space="preserve">homepage and top-level pages to </w:t>
      </w:r>
      <w:r>
        <w:t>display</w:t>
      </w:r>
      <w:r w:rsidRPr="00074A02">
        <w:t xml:space="preserve"> the types of information users access on a regular basis</w:t>
      </w:r>
      <w:r>
        <w:t>;</w:t>
      </w:r>
    </w:p>
    <w:p w14:paraId="50CC4CCF" w14:textId="77777777" w:rsidR="004C6E91" w:rsidRPr="00074A02" w:rsidRDefault="004C6E91" w:rsidP="004C6E91">
      <w:pPr>
        <w:pStyle w:val="4Bulletlist"/>
      </w:pPr>
      <w:r>
        <w:t>creating a</w:t>
      </w:r>
      <w:r w:rsidRPr="00074A02">
        <w:t xml:space="preserve"> new ‘mega-menu’ to allow users to navigate more quickly to other items of interest</w:t>
      </w:r>
      <w:r>
        <w:t>; and</w:t>
      </w:r>
    </w:p>
    <w:p w14:paraId="48AB811B" w14:textId="77777777" w:rsidR="004C6E91" w:rsidRPr="00074A02" w:rsidRDefault="004C6E91" w:rsidP="004C6E91">
      <w:pPr>
        <w:pStyle w:val="4Bulletlist"/>
      </w:pPr>
      <w:r>
        <w:t>c</w:t>
      </w:r>
      <w:r w:rsidRPr="00074A02">
        <w:t xml:space="preserve">hanges to Assembly Member biography pages to make it easier to access their </w:t>
      </w:r>
      <w:r>
        <w:t>p</w:t>
      </w:r>
      <w:r w:rsidRPr="00074A02">
        <w:t xml:space="preserve">lenary speeches and how they’ve voted.  </w:t>
      </w:r>
    </w:p>
    <w:p w14:paraId="7684D5D4" w14:textId="77777777" w:rsidR="004C6E91" w:rsidRDefault="004C6E91" w:rsidP="004C6E91">
      <w:pPr>
        <w:pStyle w:val="3Copy-text"/>
      </w:pPr>
      <w:r w:rsidRPr="00074A02">
        <w:t xml:space="preserve">In addition to this, </w:t>
      </w:r>
      <w:r>
        <w:t>our</w:t>
      </w:r>
      <w:r w:rsidRPr="00074A02">
        <w:t xml:space="preserve"> </w:t>
      </w:r>
      <w:r>
        <w:t>Digital Team has</w:t>
      </w:r>
      <w:r w:rsidRPr="00074A02">
        <w:t xml:space="preserve"> </w:t>
      </w:r>
      <w:r>
        <w:t xml:space="preserve">worked closely </w:t>
      </w:r>
      <w:r w:rsidRPr="00074A02">
        <w:t xml:space="preserve">with </w:t>
      </w:r>
      <w:r>
        <w:t xml:space="preserve">our website </w:t>
      </w:r>
      <w:r w:rsidRPr="00074A02">
        <w:t xml:space="preserve">publishers to raise and maintain standards in relation to </w:t>
      </w:r>
      <w:r>
        <w:t xml:space="preserve">website publishing, which is </w:t>
      </w:r>
      <w:r w:rsidRPr="00074A02">
        <w:t xml:space="preserve">a vital component of trying to maintain standards. </w:t>
      </w:r>
    </w:p>
    <w:p w14:paraId="1BA4AC20" w14:textId="77777777" w:rsidR="004C6E91" w:rsidRPr="004C6E91" w:rsidRDefault="004C6E91" w:rsidP="00382E75">
      <w:pPr>
        <w:pStyle w:val="2Sub-section-heading"/>
      </w:pPr>
      <w:r w:rsidRPr="004C6E91">
        <w:t>MySenedd – making improvements to the way that we work</w:t>
      </w:r>
    </w:p>
    <w:p w14:paraId="176C05E5" w14:textId="77777777" w:rsidR="004C6E91" w:rsidRPr="004C6E91" w:rsidRDefault="004C6E91" w:rsidP="004C6E91">
      <w:pPr>
        <w:pStyle w:val="3Copy-text"/>
      </w:pPr>
      <w:r w:rsidRPr="004C6E91">
        <w:t xml:space="preserve">The MySenedd programme is a series of projects designed to improve the way we manage and use information, deliver services to Members and interact with all our users through the use of technology. The programme aims to create a truly outstanding, open, digital parliament.  </w:t>
      </w:r>
    </w:p>
    <w:p w14:paraId="1662CA9B" w14:textId="48035A44" w:rsidR="008963F2" w:rsidRDefault="004C6E91" w:rsidP="00192500">
      <w:pPr>
        <w:pStyle w:val="3Copy-text"/>
      </w:pPr>
      <w:r w:rsidRPr="004C6E91">
        <w:t>When designing elements of the Programme, we completed equality impact assessments as part of the formative stage, the outcomes of which are integral to the development and decision making process, ensuring that our design solutions take account of a diverse range of needs.</w:t>
      </w:r>
    </w:p>
    <w:p w14:paraId="43AACA67" w14:textId="77777777" w:rsidR="008963F2" w:rsidRDefault="008963F2">
      <w:pPr>
        <w:spacing w:before="0" w:after="160" w:line="259" w:lineRule="auto"/>
        <w:rPr>
          <w:color w:val="414042"/>
          <w:kern w:val="24"/>
        </w:rPr>
      </w:pPr>
      <w:r>
        <w:br w:type="page"/>
      </w:r>
    </w:p>
    <w:p w14:paraId="60ACC664" w14:textId="42D05AB4" w:rsidR="002D2897" w:rsidRPr="00E907D8" w:rsidRDefault="004C6E91" w:rsidP="00E907D8">
      <w:pPr>
        <w:pStyle w:val="3Highlight-box"/>
        <w:rPr>
          <w:rFonts w:ascii="Montserrat" w:hAnsi="Montserrat"/>
          <w:b/>
        </w:rPr>
      </w:pPr>
      <w:r w:rsidRPr="00E907D8">
        <w:rPr>
          <w:rFonts w:ascii="Montserrat" w:hAnsi="Montserrat"/>
          <w:b/>
        </w:rPr>
        <w:lastRenderedPageBreak/>
        <w:t xml:space="preserve">CASE STUDY </w:t>
      </w:r>
      <w:r w:rsidR="00C9585E">
        <w:rPr>
          <w:rFonts w:ascii="Montserrat" w:hAnsi="Montserrat"/>
          <w:b/>
        </w:rPr>
        <w:t>–</w:t>
      </w:r>
      <w:r w:rsidRPr="00E907D8">
        <w:rPr>
          <w:rFonts w:ascii="Montserrat" w:hAnsi="Montserrat"/>
          <w:b/>
        </w:rPr>
        <w:t xml:space="preserve"> Rich Picture – inclusive communications</w:t>
      </w:r>
    </w:p>
    <w:p w14:paraId="7D7BBF1F" w14:textId="731D445F" w:rsidR="009F5174" w:rsidRDefault="009F5174" w:rsidP="009F5174">
      <w:pPr>
        <w:pStyle w:val="3Highlight-box"/>
        <w:jc w:val="center"/>
      </w:pPr>
      <w:r>
        <w:rPr>
          <w:noProof/>
          <w:lang w:eastAsia="en-GB"/>
        </w:rPr>
        <w:drawing>
          <wp:inline distT="0" distB="0" distL="0" distR="0" wp14:anchorId="44D4D836" wp14:editId="34777871">
            <wp:extent cx="4393565" cy="499455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senedd_vision_map_eng_digi.jpg"/>
                    <pic:cNvPicPr/>
                  </pic:nvPicPr>
                  <pic:blipFill rotWithShape="1">
                    <a:blip r:embed="rId18" cstate="print">
                      <a:extLst>
                        <a:ext uri="{28A0092B-C50C-407E-A947-70E740481C1C}">
                          <a14:useLocalDpi xmlns:a14="http://schemas.microsoft.com/office/drawing/2010/main" val="0"/>
                        </a:ext>
                      </a:extLst>
                    </a:blip>
                    <a:srcRect l="32391" t="6207" r="32525" b="38264"/>
                    <a:stretch/>
                  </pic:blipFill>
                  <pic:spPr bwMode="auto">
                    <a:xfrm>
                      <a:off x="0" y="0"/>
                      <a:ext cx="4393565" cy="4994556"/>
                    </a:xfrm>
                    <a:prstGeom prst="rect">
                      <a:avLst/>
                    </a:prstGeom>
                    <a:ln>
                      <a:noFill/>
                    </a:ln>
                    <a:extLst>
                      <a:ext uri="{53640926-AAD7-44D8-BBD7-CCE9431645EC}">
                        <a14:shadowObscured xmlns:a14="http://schemas.microsoft.com/office/drawing/2010/main"/>
                      </a:ext>
                    </a:extLst>
                  </pic:spPr>
                </pic:pic>
              </a:graphicData>
            </a:graphic>
          </wp:inline>
        </w:drawing>
      </w:r>
    </w:p>
    <w:p w14:paraId="30D0904F" w14:textId="77777777" w:rsidR="004C6E91" w:rsidRPr="004C6E91" w:rsidRDefault="004C6E91" w:rsidP="009F5174">
      <w:pPr>
        <w:pStyle w:val="3Highlight-box"/>
      </w:pPr>
      <w:r w:rsidRPr="004C6E91">
        <w:t>We engaged a Royal National Institute for Blind People (RNIB) trained local design company (Scarlet Design) who have specific diversity and inclusion expertise, to articulate our future vision of the MySenedd programme in an engaging, informative and easy to understand way. As part of the brief the ‘Rich Picture’ would consist of a mixture of words and pictures and be available in Welsh and English.</w:t>
      </w:r>
    </w:p>
    <w:p w14:paraId="4C3CEA0F" w14:textId="11117B52" w:rsidR="004C6E91" w:rsidRDefault="004C6E91" w:rsidP="009F5174">
      <w:pPr>
        <w:pStyle w:val="3Highlight-box"/>
      </w:pPr>
      <w:r w:rsidRPr="004C6E91">
        <w:t>The finished pictures depict Assembly staff, Assembly Members and the ‘People of Wales’. They reflect the diversity of our staff and service users, and the high importance we attach to meeting our equalities duties when redesigning our service</w:t>
      </w:r>
      <w:r w:rsidRPr="008963F2">
        <w:t>s</w:t>
      </w:r>
      <w:r w:rsidR="008963F2" w:rsidRPr="008963F2">
        <w:t xml:space="preserve">. </w:t>
      </w:r>
      <w:r w:rsidR="00192500">
        <w:t xml:space="preserve"> </w:t>
      </w:r>
    </w:p>
    <w:p w14:paraId="759B2059" w14:textId="5C85362A" w:rsidR="00192500" w:rsidRDefault="00192500" w:rsidP="004C6E91">
      <w:pPr>
        <w:pStyle w:val="3Copy-text"/>
      </w:pPr>
    </w:p>
    <w:p w14:paraId="716012A6" w14:textId="0DB862B8" w:rsidR="00382E75" w:rsidRDefault="00382E75">
      <w:pPr>
        <w:spacing w:before="0" w:after="160" w:line="259" w:lineRule="auto"/>
        <w:rPr>
          <w:color w:val="414042"/>
          <w:kern w:val="24"/>
        </w:rPr>
      </w:pPr>
      <w:r>
        <w:br w:type="page"/>
      </w:r>
    </w:p>
    <w:p w14:paraId="3EE986AD" w14:textId="77777777" w:rsidR="00052C90" w:rsidRPr="006F1F00" w:rsidRDefault="00052C90" w:rsidP="00DB54AE">
      <w:pPr>
        <w:pStyle w:val="2Sub-headings"/>
      </w:pPr>
      <w:r w:rsidRPr="006F1F00">
        <w:lastRenderedPageBreak/>
        <w:t xml:space="preserve">Accessible estate </w:t>
      </w:r>
    </w:p>
    <w:p w14:paraId="1FE06CAC" w14:textId="1F8E6AFB" w:rsidR="00052C90" w:rsidRPr="006F1F00" w:rsidRDefault="00052C90" w:rsidP="00DB54AE">
      <w:pPr>
        <w:pStyle w:val="3Copy-text"/>
      </w:pPr>
      <w:r w:rsidRPr="006F1F00">
        <w:t>We continually review the accessibility of our estate, undertaking monthly maintenance audit</w:t>
      </w:r>
      <w:r>
        <w:t>s</w:t>
      </w:r>
      <w:r w:rsidRPr="006F1F00">
        <w:t xml:space="preserve">, as well as acting on feedback and adopting best practice. During this reporting period, </w:t>
      </w:r>
      <w:r>
        <w:t>we have undertaken further work</w:t>
      </w:r>
      <w:r w:rsidRPr="006F1F00">
        <w:t xml:space="preserve"> to improve the physical accessibility of our estate</w:t>
      </w:r>
      <w:r w:rsidR="00414B9B">
        <w:t>,</w:t>
      </w:r>
      <w:r w:rsidRPr="006F1F00">
        <w:t xml:space="preserve"> including</w:t>
      </w:r>
      <w:r w:rsidR="00414B9B">
        <w:t>:</w:t>
      </w:r>
      <w:r w:rsidRPr="006F1F00">
        <w:t xml:space="preserve"> </w:t>
      </w:r>
    </w:p>
    <w:p w14:paraId="7FB5C372" w14:textId="2C25D4F1" w:rsidR="00052C90" w:rsidRPr="006F1F00" w:rsidRDefault="00414B9B" w:rsidP="00FB7171">
      <w:pPr>
        <w:pStyle w:val="4Bulletlist"/>
      </w:pPr>
      <w:r>
        <w:t>w</w:t>
      </w:r>
      <w:r w:rsidR="00052C90" w:rsidRPr="006F1F00">
        <w:t>iden</w:t>
      </w:r>
      <w:r>
        <w:t>ing</w:t>
      </w:r>
      <w:r w:rsidR="00052C90" w:rsidRPr="006F1F00">
        <w:t xml:space="preserve"> the access ramp in the underground car park at the main atrium stairwell/ lift lobby;</w:t>
      </w:r>
    </w:p>
    <w:p w14:paraId="7B17D8C2" w14:textId="508DDA66" w:rsidR="00052C90" w:rsidRPr="006F1F00" w:rsidRDefault="00414B9B" w:rsidP="00FB7171">
      <w:pPr>
        <w:pStyle w:val="4Bulletlist"/>
      </w:pPr>
      <w:r>
        <w:t>i</w:t>
      </w:r>
      <w:r w:rsidR="00052C90" w:rsidRPr="006F1F00">
        <w:t>nstall</w:t>
      </w:r>
      <w:r>
        <w:t>ing</w:t>
      </w:r>
      <w:r w:rsidR="00052C90" w:rsidRPr="006F1F00">
        <w:t xml:space="preserve"> ramped access to the new sound/ translation booths for the new </w:t>
      </w:r>
      <w:r w:rsidR="00A76ED7">
        <w:t>c</w:t>
      </w:r>
      <w:r w:rsidR="00052C90" w:rsidRPr="006F1F00">
        <w:t xml:space="preserve">ommittee </w:t>
      </w:r>
      <w:r>
        <w:t>r</w:t>
      </w:r>
      <w:r w:rsidR="00052C90" w:rsidRPr="006F1F00">
        <w:t xml:space="preserve">ooms; </w:t>
      </w:r>
    </w:p>
    <w:p w14:paraId="5CE37D7D" w14:textId="1CD6A788" w:rsidR="00052C90" w:rsidRPr="006F1F00" w:rsidRDefault="00414B9B" w:rsidP="00FB7171">
      <w:pPr>
        <w:pStyle w:val="4Bulletlist"/>
      </w:pPr>
      <w:r>
        <w:t>i</w:t>
      </w:r>
      <w:r w:rsidR="00052C90" w:rsidRPr="006F1F00">
        <w:t>nstall</w:t>
      </w:r>
      <w:r>
        <w:t>ing</w:t>
      </w:r>
      <w:r w:rsidR="00052C90" w:rsidRPr="006F1F00">
        <w:t xml:space="preserve"> new signage, including braille, to new </w:t>
      </w:r>
      <w:r w:rsidR="00A76ED7">
        <w:t>c</w:t>
      </w:r>
      <w:r w:rsidR="00052C90" w:rsidRPr="006F1F00">
        <w:t xml:space="preserve">ommittee </w:t>
      </w:r>
      <w:r>
        <w:t>r</w:t>
      </w:r>
      <w:r w:rsidR="00052C90" w:rsidRPr="006F1F00">
        <w:t>ooms and meeting rooms;</w:t>
      </w:r>
    </w:p>
    <w:p w14:paraId="1E521DB9" w14:textId="3FBC2658" w:rsidR="00052C90" w:rsidRPr="006F1F00" w:rsidRDefault="00414B9B" w:rsidP="00FB7171">
      <w:pPr>
        <w:pStyle w:val="4Bulletlist"/>
      </w:pPr>
      <w:r>
        <w:t>p</w:t>
      </w:r>
      <w:r w:rsidR="00052C90" w:rsidRPr="006F1F00">
        <w:t>rovid</w:t>
      </w:r>
      <w:r>
        <w:t>ing</w:t>
      </w:r>
      <w:r w:rsidR="00052C90" w:rsidRPr="006F1F00">
        <w:t xml:space="preserve"> a new </w:t>
      </w:r>
      <w:r>
        <w:t>q</w:t>
      </w:r>
      <w:r w:rsidR="00052C90" w:rsidRPr="006F1F00">
        <w:t xml:space="preserve">uiet </w:t>
      </w:r>
      <w:r>
        <w:t>r</w:t>
      </w:r>
      <w:r w:rsidR="00052C90">
        <w:t xml:space="preserve">oom on the </w:t>
      </w:r>
      <w:r>
        <w:t>g</w:t>
      </w:r>
      <w:r w:rsidR="00052C90">
        <w:t xml:space="preserve">round </w:t>
      </w:r>
      <w:r>
        <w:t>f</w:t>
      </w:r>
      <w:r w:rsidR="00052C90">
        <w:t>loor</w:t>
      </w:r>
      <w:r w:rsidR="00052C90" w:rsidRPr="006F1F00">
        <w:t>;</w:t>
      </w:r>
    </w:p>
    <w:p w14:paraId="4F4AF89B" w14:textId="2405CE39" w:rsidR="00052C90" w:rsidRPr="006F1F00" w:rsidRDefault="00414B9B" w:rsidP="00FB7171">
      <w:pPr>
        <w:pStyle w:val="4Bulletlist"/>
      </w:pPr>
      <w:r>
        <w:t>i</w:t>
      </w:r>
      <w:r w:rsidRPr="006F1F00">
        <w:t>nstall</w:t>
      </w:r>
      <w:r>
        <w:t>ing</w:t>
      </w:r>
      <w:r w:rsidR="00052C90" w:rsidRPr="006F1F00">
        <w:t xml:space="preserve"> new signage, including braille</w:t>
      </w:r>
      <w:r w:rsidR="00052C90">
        <w:t>,</w:t>
      </w:r>
      <w:r w:rsidR="00052C90" w:rsidRPr="006F1F00">
        <w:t xml:space="preserve"> following lift refurbishment;</w:t>
      </w:r>
    </w:p>
    <w:p w14:paraId="0A302735" w14:textId="5C92E185" w:rsidR="00052C90" w:rsidRPr="00541990" w:rsidRDefault="00414B9B" w:rsidP="00FB7171">
      <w:pPr>
        <w:pStyle w:val="4Bulletlist"/>
      </w:pPr>
      <w:r>
        <w:t>i</w:t>
      </w:r>
      <w:r w:rsidRPr="006F1F00">
        <w:t>nstall</w:t>
      </w:r>
      <w:r>
        <w:t>ing</w:t>
      </w:r>
      <w:r w:rsidR="00052C90" w:rsidRPr="006F1F00">
        <w:t xml:space="preserve"> new signage, including braille, </w:t>
      </w:r>
      <w:r w:rsidR="00052C90">
        <w:t>i</w:t>
      </w:r>
      <w:r w:rsidR="00052C90" w:rsidRPr="006F1F00">
        <w:t xml:space="preserve">n all shared toilet and </w:t>
      </w:r>
      <w:r w:rsidR="00052C90" w:rsidRPr="00541990">
        <w:t>shower room facilities throughout the estate;</w:t>
      </w:r>
    </w:p>
    <w:p w14:paraId="745CC802" w14:textId="4C2E9714" w:rsidR="00052C90" w:rsidRPr="00541990" w:rsidRDefault="00414B9B" w:rsidP="00FB7171">
      <w:pPr>
        <w:pStyle w:val="4Bulletlist"/>
      </w:pPr>
      <w:r>
        <w:t>c</w:t>
      </w:r>
      <w:r w:rsidR="00052C90" w:rsidRPr="00541990">
        <w:t>onside</w:t>
      </w:r>
      <w:r>
        <w:t>ring</w:t>
      </w:r>
      <w:r w:rsidR="00052C90" w:rsidRPr="00541990">
        <w:t xml:space="preserve"> access requirements for all refurbishment work that been carried </w:t>
      </w:r>
      <w:r w:rsidR="00052C90">
        <w:t>out;</w:t>
      </w:r>
    </w:p>
    <w:p w14:paraId="2671F7EE" w14:textId="0C734CC7" w:rsidR="00052C90" w:rsidRPr="00541990" w:rsidRDefault="00414B9B" w:rsidP="00FB7171">
      <w:pPr>
        <w:pStyle w:val="4Bulletlist"/>
      </w:pPr>
      <w:r>
        <w:t>c</w:t>
      </w:r>
      <w:r w:rsidR="00052C90" w:rsidRPr="00541990">
        <w:t>ontinu</w:t>
      </w:r>
      <w:r>
        <w:t>ing</w:t>
      </w:r>
      <w:r w:rsidR="00052C90" w:rsidRPr="00541990">
        <w:t xml:space="preserve"> with the programme of installing LED lighting to improve visibility in the Senedd and other areas across the estate</w:t>
      </w:r>
      <w:r w:rsidR="00052C90">
        <w:t>; and</w:t>
      </w:r>
    </w:p>
    <w:p w14:paraId="4030AA8D" w14:textId="77777777" w:rsidR="00414B9B" w:rsidRDefault="00414B9B" w:rsidP="00FB7171">
      <w:pPr>
        <w:pStyle w:val="4Bulletlist"/>
      </w:pPr>
      <w:r>
        <w:t>r</w:t>
      </w:r>
      <w:r w:rsidR="00052C90" w:rsidRPr="00541990">
        <w:t>eallocat</w:t>
      </w:r>
      <w:r>
        <w:t>ing</w:t>
      </w:r>
      <w:r w:rsidR="00052C90" w:rsidRPr="00541990">
        <w:t xml:space="preserve"> some toilet and shower facilities as </w:t>
      </w:r>
      <w:r>
        <w:t>‘</w:t>
      </w:r>
      <w:r w:rsidR="00052C90" w:rsidRPr="00541990">
        <w:t>gender neutral</w:t>
      </w:r>
      <w:r>
        <w:t>’</w:t>
      </w:r>
      <w:r w:rsidR="00052C90" w:rsidRPr="00541990">
        <w:t xml:space="preserve"> or </w:t>
      </w:r>
      <w:r>
        <w:t>‘</w:t>
      </w:r>
      <w:r w:rsidR="00052C90" w:rsidRPr="00541990">
        <w:t>gender neutral and accessible</w:t>
      </w:r>
      <w:r>
        <w:t>’.</w:t>
      </w:r>
    </w:p>
    <w:p w14:paraId="7D411B08" w14:textId="76A8022F" w:rsidR="00052C90" w:rsidRPr="00541990" w:rsidRDefault="00052C90" w:rsidP="002D2897">
      <w:pPr>
        <w:pStyle w:val="5Quotetext"/>
      </w:pPr>
      <w:r w:rsidRPr="00541990">
        <w:t>FEEDBACK - “Fabulous! Love the gender neutral loo!”</w:t>
      </w:r>
    </w:p>
    <w:p w14:paraId="5173590C" w14:textId="77777777" w:rsidR="0029729E" w:rsidRPr="00A35D67" w:rsidRDefault="0029729E" w:rsidP="008C330C">
      <w:pPr>
        <w:pStyle w:val="2Sub-headings"/>
      </w:pPr>
      <w:r w:rsidRPr="008C330C">
        <w:t>Learning and improving – name change c</w:t>
      </w:r>
      <w:r w:rsidRPr="00A35D67">
        <w:t>onsultation</w:t>
      </w:r>
    </w:p>
    <w:p w14:paraId="512BFF65" w14:textId="77777777" w:rsidR="0029729E" w:rsidRPr="009B774B" w:rsidRDefault="0029729E" w:rsidP="006957AC">
      <w:pPr>
        <w:pStyle w:val="3Copy-text"/>
      </w:pPr>
      <w:r w:rsidRPr="008C330C">
        <w:t>Between 8 December 2016 and 3 March 2017, the Assembly Commission ran a public consultation on changing the name of the National Assembly for Wales. Respondents were asked to provide equality monitoring data to help the Commission to assess the representativeness of the sample. Following feedback from</w:t>
      </w:r>
      <w:r w:rsidRPr="00A35D67">
        <w:t xml:space="preserve"> members of the public, we identified a need to learn and improve from this and subsequently reviewed our methodology for gathering equality monitoring data and identified best practice to inform future initiatives.</w:t>
      </w:r>
    </w:p>
    <w:p w14:paraId="657CB8D3" w14:textId="77777777" w:rsidR="00052C90" w:rsidRPr="00F14003" w:rsidRDefault="00052C90" w:rsidP="00052C90">
      <w:pPr>
        <w:pStyle w:val="2Sub-headings"/>
      </w:pPr>
      <w:r w:rsidRPr="00F14003">
        <w:lastRenderedPageBreak/>
        <w:t>Going forward:</w:t>
      </w:r>
    </w:p>
    <w:p w14:paraId="1657FD1B" w14:textId="46F31664" w:rsidR="005B128F" w:rsidRDefault="005B128F" w:rsidP="005B128F">
      <w:pPr>
        <w:pStyle w:val="4Bulletlist"/>
        <w:numPr>
          <w:ilvl w:val="0"/>
          <w:numId w:val="0"/>
        </w:numPr>
      </w:pPr>
      <w:r>
        <w:t>We will</w:t>
      </w:r>
      <w:r w:rsidR="0029729E">
        <w:t xml:space="preserve"> evaluate </w:t>
      </w:r>
      <w:r w:rsidR="00116A19">
        <w:t xml:space="preserve">relevant </w:t>
      </w:r>
      <w:r w:rsidR="0029729E">
        <w:t>data</w:t>
      </w:r>
      <w:r w:rsidR="008C330C">
        <w:t xml:space="preserve"> and use best practice </w:t>
      </w:r>
      <w:r w:rsidR="0029729E">
        <w:t>to inform how we continue to build diversity and inclusion into</w:t>
      </w:r>
      <w:r>
        <w:t>:</w:t>
      </w:r>
    </w:p>
    <w:p w14:paraId="7CCB75E1" w14:textId="05AAC760" w:rsidR="00052C90" w:rsidRPr="00AA30A2" w:rsidRDefault="00052C90" w:rsidP="00FB7171">
      <w:pPr>
        <w:pStyle w:val="4Bulletlist"/>
      </w:pPr>
      <w:r w:rsidRPr="00AA30A2">
        <w:t>develop</w:t>
      </w:r>
      <w:r w:rsidR="0029729E">
        <w:t>ing</w:t>
      </w:r>
      <w:r w:rsidRPr="00AA30A2">
        <w:t xml:space="preserve"> an inclusive and effective youth parliament</w:t>
      </w:r>
      <w:r w:rsidR="005B128F">
        <w:t>;</w:t>
      </w:r>
    </w:p>
    <w:p w14:paraId="4AA5731D" w14:textId="58B9199D" w:rsidR="00052C90" w:rsidRPr="002D2064" w:rsidRDefault="00052C90" w:rsidP="00FB7171">
      <w:pPr>
        <w:pStyle w:val="4Bulletlist"/>
      </w:pPr>
      <w:r w:rsidRPr="002D2064">
        <w:t>promot</w:t>
      </w:r>
      <w:r w:rsidR="0029729E">
        <w:t>ing</w:t>
      </w:r>
      <w:r w:rsidRPr="002D2064">
        <w:t xml:space="preserve"> access to our information and our estate</w:t>
      </w:r>
      <w:r w:rsidR="005B128F">
        <w:t xml:space="preserve">; </w:t>
      </w:r>
    </w:p>
    <w:p w14:paraId="483DEE96" w14:textId="7AC84FDE" w:rsidR="00052C90" w:rsidRDefault="00052C90" w:rsidP="00FB7171">
      <w:pPr>
        <w:pStyle w:val="4Bulletlist"/>
      </w:pPr>
      <w:r w:rsidRPr="007D0FD5">
        <w:t>promot</w:t>
      </w:r>
      <w:r w:rsidR="008C330C">
        <w:t>ing</w:t>
      </w:r>
      <w:r w:rsidRPr="007D0FD5">
        <w:t xml:space="preserve"> diversity and inclusion</w:t>
      </w:r>
      <w:r w:rsidR="0029729E">
        <w:t xml:space="preserve"> as an employer and parliamentary organisation</w:t>
      </w:r>
      <w:r w:rsidR="00A35D67">
        <w:t>;</w:t>
      </w:r>
    </w:p>
    <w:p w14:paraId="514E8A26" w14:textId="29F67C21" w:rsidR="005B128F" w:rsidRPr="002D2064" w:rsidRDefault="008C330C" w:rsidP="005B128F">
      <w:pPr>
        <w:pStyle w:val="4Bulletlist"/>
      </w:pPr>
      <w:r>
        <w:t xml:space="preserve">implementing </w:t>
      </w:r>
      <w:r w:rsidR="0029729E">
        <w:t>o</w:t>
      </w:r>
      <w:r w:rsidR="005B128F" w:rsidRPr="00526AFC">
        <w:t>ur P</w:t>
      </w:r>
      <w:r w:rsidR="005B128F" w:rsidRPr="00EA07C1">
        <w:t>ublic E</w:t>
      </w:r>
      <w:r w:rsidR="005B128F" w:rsidRPr="002D2064">
        <w:t>ngagement Strategy</w:t>
      </w:r>
      <w:r w:rsidR="0029729E">
        <w:t xml:space="preserve"> which </w:t>
      </w:r>
      <w:r w:rsidR="005B128F" w:rsidRPr="002D2064">
        <w:t xml:space="preserve"> will ensure that we continue to engage with a diverse range of people</w:t>
      </w:r>
      <w:r w:rsidR="0029729E">
        <w:t xml:space="preserve"> </w:t>
      </w:r>
      <w:r w:rsidR="00793CA1" w:rsidRPr="002D2064">
        <w:t>across Wales</w:t>
      </w:r>
      <w:r w:rsidR="00793CA1">
        <w:t xml:space="preserve"> </w:t>
      </w:r>
      <w:r w:rsidR="0029729E">
        <w:t>and people who have not engaged with the Assembly before</w:t>
      </w:r>
      <w:r w:rsidR="00A35D67">
        <w:t>; and</w:t>
      </w:r>
    </w:p>
    <w:p w14:paraId="3DE690D1" w14:textId="580551F9" w:rsidR="005B128F" w:rsidRPr="00FB7171" w:rsidRDefault="008C330C" w:rsidP="005B128F">
      <w:pPr>
        <w:pStyle w:val="4Bulletlist"/>
      </w:pPr>
      <w:r>
        <w:t>implementing</w:t>
      </w:r>
      <w:r w:rsidR="00793CA1">
        <w:t xml:space="preserve"> </w:t>
      </w:r>
      <w:r>
        <w:t>t</w:t>
      </w:r>
      <w:r w:rsidR="005B128F" w:rsidRPr="002D2064">
        <w:t>he MySenedd programme to identify and implement technological improvements to increase our engagement opportunities</w:t>
      </w:r>
      <w:r w:rsidR="005B128F">
        <w:t>.</w:t>
      </w:r>
    </w:p>
    <w:p w14:paraId="61019082" w14:textId="1007BC05" w:rsidR="00052C90" w:rsidRPr="008D58FB" w:rsidRDefault="005B128F" w:rsidP="008D58FB">
      <w:pPr>
        <w:pStyle w:val="1Numbered-Heading"/>
      </w:pPr>
      <w:r>
        <w:br w:type="page"/>
      </w:r>
      <w:bookmarkStart w:id="2" w:name="_Toc506543685"/>
      <w:r w:rsidR="00052C90" w:rsidRPr="008D58FB">
        <w:lastRenderedPageBreak/>
        <w:t>Supporting our Workforce: the Assembly Commission as an Employer of Choice</w:t>
      </w:r>
      <w:bookmarkEnd w:id="2"/>
    </w:p>
    <w:p w14:paraId="1192C56A" w14:textId="77777777" w:rsidR="00B22970" w:rsidRPr="008D58FB" w:rsidRDefault="00B22970" w:rsidP="008D58FB">
      <w:pPr>
        <w:pStyle w:val="2intro-paragraph"/>
      </w:pPr>
      <w:r w:rsidRPr="008D58FB">
        <w:t xml:space="preserve">We strive to be an inclusive employer of choice where all of our staff can thrive in a safe and supported environment. </w:t>
      </w:r>
    </w:p>
    <w:p w14:paraId="46AC415C" w14:textId="6328DCCD" w:rsidR="00B22970" w:rsidRPr="00D60DBD" w:rsidRDefault="00B22970" w:rsidP="00382E75">
      <w:pPr>
        <w:pStyle w:val="2intro-paragraph"/>
      </w:pPr>
      <w:r>
        <w:t xml:space="preserve">Our workforce and recruitment data, and an equal pay audit can be seen in Annexes A and B respectively. </w:t>
      </w:r>
      <w:r w:rsidR="00515685">
        <w:t xml:space="preserve"> </w:t>
      </w:r>
    </w:p>
    <w:p w14:paraId="595435B2" w14:textId="77777777" w:rsidR="00B22970" w:rsidRPr="006F1F00" w:rsidRDefault="00B22970" w:rsidP="00B22970">
      <w:pPr>
        <w:pStyle w:val="2Sub-headings"/>
      </w:pPr>
      <w:r w:rsidRPr="006F1F00">
        <w:t>Arrangements to support Commission staff</w:t>
      </w:r>
    </w:p>
    <w:p w14:paraId="0E9CCE40" w14:textId="3A30C6A8" w:rsidR="00B22970" w:rsidRPr="006F1F00" w:rsidRDefault="00B22970" w:rsidP="004616B2">
      <w:pPr>
        <w:pStyle w:val="4Bulletlist"/>
        <w:numPr>
          <w:ilvl w:val="0"/>
          <w:numId w:val="0"/>
        </w:numPr>
      </w:pPr>
      <w:r w:rsidRPr="006F1F00">
        <w:t>We have a number of policies and initiatives in place to support o</w:t>
      </w:r>
      <w:r w:rsidR="00CE142B">
        <w:t xml:space="preserve">ur staff and </w:t>
      </w:r>
      <w:r w:rsidR="004616B2">
        <w:t xml:space="preserve">help us promote </w:t>
      </w:r>
      <w:r w:rsidRPr="006F1F00">
        <w:t xml:space="preserve">equality, foster good relations and remove discrimination. These include: </w:t>
      </w:r>
    </w:p>
    <w:p w14:paraId="30A125E6" w14:textId="77777777" w:rsidR="00B22970" w:rsidRPr="006F1F00" w:rsidRDefault="00B22970" w:rsidP="00FB7171">
      <w:pPr>
        <w:pStyle w:val="4Bulletlist"/>
      </w:pPr>
      <w:r w:rsidRPr="006F1F00">
        <w:t>dedicated teams and workplace equality networks that provide a range of advice and support;</w:t>
      </w:r>
    </w:p>
    <w:p w14:paraId="3137A852" w14:textId="0AC6F7A8" w:rsidR="00B22970" w:rsidRPr="006F1F00" w:rsidRDefault="00B22970" w:rsidP="00FB7171">
      <w:pPr>
        <w:pStyle w:val="4Bulletlist"/>
      </w:pPr>
      <w:r w:rsidRPr="006F1F00">
        <w:t>a variety of flexible working arr</w:t>
      </w:r>
      <w:r>
        <w:t xml:space="preserve">angements </w:t>
      </w:r>
      <w:r w:rsidR="00CE142B">
        <w:t>that</w:t>
      </w:r>
      <w:r w:rsidRPr="006F1F00">
        <w:t xml:space="preserve"> </w:t>
      </w:r>
      <w:r w:rsidR="00427272">
        <w:t xml:space="preserve">enable </w:t>
      </w:r>
      <w:r w:rsidRPr="006F1F00">
        <w:t>staff to find a working pattern that suits their needs;</w:t>
      </w:r>
      <w:r>
        <w:t xml:space="preserve"> </w:t>
      </w:r>
    </w:p>
    <w:p w14:paraId="3F411B5E" w14:textId="77777777" w:rsidR="00B22970" w:rsidRPr="006F1F00" w:rsidRDefault="00B22970" w:rsidP="00FB7171">
      <w:pPr>
        <w:pStyle w:val="4Bulletlist"/>
      </w:pPr>
      <w:r w:rsidRPr="006F1F00">
        <w:t>using our workplace equality networks to impact assess our policies to ensure they are fair and inclusive;</w:t>
      </w:r>
    </w:p>
    <w:p w14:paraId="3FC3CD39" w14:textId="77777777" w:rsidR="00B22970" w:rsidRDefault="00B22970" w:rsidP="00FB7171">
      <w:pPr>
        <w:pStyle w:val="4Bulletlist"/>
      </w:pPr>
      <w:r w:rsidRPr="006F1F00">
        <w:t>an Employee Assistance Programme that offers a counselling and advice service to staff;</w:t>
      </w:r>
    </w:p>
    <w:p w14:paraId="328BE1BF" w14:textId="2A891E09" w:rsidR="00B22970" w:rsidRPr="006F1F00" w:rsidRDefault="00B22970" w:rsidP="00FB7171">
      <w:pPr>
        <w:pStyle w:val="4Bulletlist"/>
      </w:pPr>
      <w:r>
        <w:t xml:space="preserve">health and wellbeing </w:t>
      </w:r>
      <w:r w:rsidR="008E46B4">
        <w:t>policies in place which include</w:t>
      </w:r>
      <w:r>
        <w:t xml:space="preserve"> a mental health policy and policy for supporting staff who are experiencing domestic abuse. Such policies are supplemented by ongoing awareness campaigns </w:t>
      </w:r>
      <w:r w:rsidR="008E46B4">
        <w:t>that</w:t>
      </w:r>
      <w:r>
        <w:t xml:space="preserve"> highlight how staff can access both peer support and an on-site occupational health nurse;</w:t>
      </w:r>
    </w:p>
    <w:p w14:paraId="3B602511" w14:textId="77777777" w:rsidR="00B22970" w:rsidRPr="006F1F00" w:rsidRDefault="00B22970" w:rsidP="00FB7171">
      <w:pPr>
        <w:pStyle w:val="4Bulletlist"/>
      </w:pPr>
      <w:r w:rsidRPr="006F1F00">
        <w:t>annual Display Screen Equipment (DSE) assessments and reasonable adjustments</w:t>
      </w:r>
      <w:r>
        <w:t xml:space="preserve"> for those that need them</w:t>
      </w:r>
      <w:r w:rsidRPr="006F1F00">
        <w:t>;</w:t>
      </w:r>
    </w:p>
    <w:p w14:paraId="727ADE5B" w14:textId="7EDA3C5A" w:rsidR="00B22970" w:rsidRDefault="00B22970" w:rsidP="00FB7171">
      <w:pPr>
        <w:pStyle w:val="4Bulletlist"/>
      </w:pPr>
      <w:r w:rsidRPr="00875690">
        <w:t>an annual Diversity and Inclusion Week to raise awareness of different equality issues and promote the support available to staff</w:t>
      </w:r>
      <w:r w:rsidR="00DB54AE">
        <w:t>; and</w:t>
      </w:r>
    </w:p>
    <w:p w14:paraId="6EB13973" w14:textId="0DA59854" w:rsidR="00B22970" w:rsidRPr="006F1F00" w:rsidRDefault="00B22970" w:rsidP="00FB7171">
      <w:pPr>
        <w:pStyle w:val="4Bulletlist"/>
      </w:pPr>
      <w:r w:rsidRPr="006F1F00">
        <w:t>regular awareness-raising initiatives on equality–related themes to inform staff and Assembly Members,</w:t>
      </w:r>
      <w:r w:rsidR="008E46B4">
        <w:t xml:space="preserve"> including factsheets, training</w:t>
      </w:r>
      <w:r w:rsidRPr="006F1F00">
        <w:t xml:space="preserve"> and a </w:t>
      </w:r>
      <w:r w:rsidRPr="006F1F00">
        <w:lastRenderedPageBreak/>
        <w:t xml:space="preserve">monthly </w:t>
      </w:r>
      <w:r>
        <w:t>Diversity and Inclusion</w:t>
      </w:r>
      <w:r w:rsidRPr="006F1F00">
        <w:t xml:space="preserve"> Bulletin that lists relevant news, publications and consultations.</w:t>
      </w:r>
    </w:p>
    <w:p w14:paraId="1FF5DC4D" w14:textId="3BB87072" w:rsidR="00B22970" w:rsidRDefault="00B22970" w:rsidP="00B22970">
      <w:pPr>
        <w:pStyle w:val="2Sub-headings"/>
        <w:rPr>
          <w:color w:val="C9187E" w:themeColor="accent1"/>
        </w:rPr>
      </w:pPr>
      <w:r w:rsidRPr="00875690">
        <w:t xml:space="preserve">Apprenticeship </w:t>
      </w:r>
      <w:r w:rsidRPr="002D2897">
        <w:t>schem</w:t>
      </w:r>
      <w:r w:rsidRPr="00382E75">
        <w:t xml:space="preserve">e </w:t>
      </w:r>
    </w:p>
    <w:p w14:paraId="58785D19" w14:textId="21105CF2" w:rsidR="002D2897" w:rsidRPr="002D2897" w:rsidRDefault="002D2897" w:rsidP="008F0C80">
      <w:pPr>
        <w:jc w:val="center"/>
      </w:pPr>
      <w:r>
        <w:rPr>
          <w:noProof/>
          <w:lang w:eastAsia="en-GB"/>
        </w:rPr>
        <w:drawing>
          <wp:inline distT="0" distB="0" distL="0" distR="0" wp14:anchorId="0BCA790C" wp14:editId="734F8CDB">
            <wp:extent cx="6120000" cy="459031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rentices at jobs fair.jpg"/>
                    <pic:cNvPicPr/>
                  </pic:nvPicPr>
                  <pic:blipFill>
                    <a:blip r:embed="rId19">
                      <a:extLst>
                        <a:ext uri="{28A0092B-C50C-407E-A947-70E740481C1C}">
                          <a14:useLocalDpi xmlns:a14="http://schemas.microsoft.com/office/drawing/2010/main" val="0"/>
                        </a:ext>
                      </a:extLst>
                    </a:blip>
                    <a:stretch>
                      <a:fillRect/>
                    </a:stretch>
                  </pic:blipFill>
                  <pic:spPr>
                    <a:xfrm>
                      <a:off x="0" y="0"/>
                      <a:ext cx="6120000" cy="4590318"/>
                    </a:xfrm>
                    <a:prstGeom prst="rect">
                      <a:avLst/>
                    </a:prstGeom>
                  </pic:spPr>
                </pic:pic>
              </a:graphicData>
            </a:graphic>
          </wp:inline>
        </w:drawing>
      </w:r>
    </w:p>
    <w:p w14:paraId="4F35C6FF" w14:textId="0213E59D" w:rsidR="00B22970" w:rsidRPr="00DB54AE" w:rsidRDefault="00B22970" w:rsidP="00382E75">
      <w:pPr>
        <w:pStyle w:val="3Copy-text"/>
      </w:pPr>
      <w:r w:rsidRPr="00DB54AE">
        <w:t xml:space="preserve">Following the previous successes of our </w:t>
      </w:r>
      <w:r w:rsidRPr="00382E75">
        <w:t>apprentice</w:t>
      </w:r>
      <w:r w:rsidRPr="00DB54AE">
        <w:t xml:space="preserve"> scheme, we welcomed four new apprentices in September 2016. Working towards their Business and Administration diploma, they are the first cohort of apprentices to experience the rotational programme on offer at the Assembly. They will experience five months in different teams to fully enhance their experience whilst working here. Our apprentices are paid in line with the accredited Living Wage scheme, which is </w:t>
      </w:r>
      <w:r w:rsidR="00C76CF4">
        <w:t xml:space="preserve">higher than </w:t>
      </w:r>
      <w:r w:rsidRPr="00DB54AE">
        <w:t xml:space="preserve">the usual apprentice rate. </w:t>
      </w:r>
    </w:p>
    <w:p w14:paraId="5D1FFA6E" w14:textId="6F6CFE6E" w:rsidR="00B22970" w:rsidRPr="00DB54AE" w:rsidRDefault="00B22970" w:rsidP="00DB54AE">
      <w:pPr>
        <w:pStyle w:val="3Copy-text"/>
      </w:pPr>
      <w:r w:rsidRPr="00DB54AE">
        <w:t>The apprentices have already proved to be assets to their t</w:t>
      </w:r>
      <w:r w:rsidR="0078776D">
        <w:t>eams, assisting on projects</w:t>
      </w:r>
      <w:r w:rsidRPr="00DB54AE">
        <w:t xml:space="preserve"> as well as outreach work at career events across Cardiff promoting apprenticeships. They have also undertaken fundrais</w:t>
      </w:r>
      <w:r w:rsidR="0078776D">
        <w:t>ing events at the Assembly</w:t>
      </w:r>
      <w:r w:rsidRPr="00DB54AE">
        <w:t xml:space="preserve"> and </w:t>
      </w:r>
      <w:r w:rsidR="0078776D">
        <w:t>will</w:t>
      </w:r>
      <w:r w:rsidRPr="00DB54AE">
        <w:t xml:space="preserve"> shadow Assembly Members later in 2017.  </w:t>
      </w:r>
    </w:p>
    <w:p w14:paraId="0EFF1692" w14:textId="7437D84D" w:rsidR="00B22970" w:rsidRPr="00DB54AE" w:rsidRDefault="00B22970" w:rsidP="00DB54AE">
      <w:pPr>
        <w:pStyle w:val="3Copy-text"/>
      </w:pPr>
      <w:r w:rsidRPr="00DB54AE">
        <w:t>Our apprent</w:t>
      </w:r>
      <w:r w:rsidR="0078776D">
        <w:t>iceship programme provides work-</w:t>
      </w:r>
      <w:r w:rsidRPr="00DB54AE">
        <w:t xml:space="preserve">based learning for young people, but also presents them with life changing skills and experiences. We see their confidence grow and their strengths highlighted in a new environment. One apprentice has positively progressed his volunteering work outside of the </w:t>
      </w:r>
      <w:r w:rsidRPr="00DB54AE">
        <w:lastRenderedPageBreak/>
        <w:t xml:space="preserve">Assembly since working here, participating in </w:t>
      </w:r>
      <w:r w:rsidR="0078776D">
        <w:t>talks at Westminster and Poland</w:t>
      </w:r>
      <w:r w:rsidRPr="00DB54AE">
        <w:t xml:space="preserve"> and working with representatives from Greece, Estonia, Poland and Syria. We now look forward to initiating the process to recruit our next intake of apprentices for the future. </w:t>
      </w:r>
    </w:p>
    <w:p w14:paraId="1D28B860" w14:textId="405F6343" w:rsidR="00B22970" w:rsidRPr="00875690" w:rsidRDefault="00EB424A" w:rsidP="00B22970">
      <w:pPr>
        <w:pStyle w:val="2Sub-headings"/>
      </w:pPr>
      <w:r>
        <w:t>Mental h</w:t>
      </w:r>
      <w:r w:rsidR="00B22970" w:rsidRPr="00875690">
        <w:t xml:space="preserve">ealth </w:t>
      </w:r>
      <w:r>
        <w:t>in the w</w:t>
      </w:r>
      <w:r w:rsidR="00B22970">
        <w:t>orkplace</w:t>
      </w:r>
    </w:p>
    <w:p w14:paraId="3E360714" w14:textId="215B9753" w:rsidR="00B22970" w:rsidRDefault="00B22970" w:rsidP="00B22970">
      <w:pPr>
        <w:pStyle w:val="3Copy-text"/>
      </w:pPr>
      <w:r w:rsidRPr="00875690">
        <w:t xml:space="preserve">During </w:t>
      </w:r>
      <w:r>
        <w:t>this reporting period</w:t>
      </w:r>
      <w:r w:rsidR="002F7ECA">
        <w:t>, our well</w:t>
      </w:r>
      <w:r w:rsidRPr="00875690">
        <w:t>being strat</w:t>
      </w:r>
      <w:r w:rsidR="002F7ECA">
        <w:t>egy concentrated on mental well</w:t>
      </w:r>
      <w:r w:rsidRPr="00875690">
        <w:t xml:space="preserve">being </w:t>
      </w:r>
      <w:r>
        <w:t xml:space="preserve">and included </w:t>
      </w:r>
      <w:r w:rsidRPr="00875690">
        <w:t>the delivery of a Mental Health Awareness Week</w:t>
      </w:r>
      <w:r>
        <w:t>. During the week:</w:t>
      </w:r>
    </w:p>
    <w:p w14:paraId="39BA59B1" w14:textId="77777777" w:rsidR="00B22970" w:rsidRDefault="00B22970" w:rsidP="00FB7171">
      <w:pPr>
        <w:pStyle w:val="4Bulletlist"/>
      </w:pPr>
      <w:r w:rsidRPr="006528B0">
        <w:t xml:space="preserve">the </w:t>
      </w:r>
      <w:r>
        <w:t xml:space="preserve">Assembly </w:t>
      </w:r>
      <w:r w:rsidRPr="006528B0">
        <w:t>Commission signed up to th</w:t>
      </w:r>
      <w:r>
        <w:t>e Time to Change Wales pledge to</w:t>
      </w:r>
      <w:r w:rsidRPr="006528B0">
        <w:t xml:space="preserve"> end menta</w:t>
      </w:r>
      <w:r>
        <w:t>l health stigma;</w:t>
      </w:r>
      <w:r w:rsidRPr="006528B0" w:rsidDel="00782224">
        <w:t xml:space="preserve"> </w:t>
      </w:r>
    </w:p>
    <w:p w14:paraId="3D0FA375" w14:textId="77777777" w:rsidR="00B22970" w:rsidRDefault="00B22970" w:rsidP="00FB7171">
      <w:pPr>
        <w:pStyle w:val="4Bulletlist"/>
      </w:pPr>
      <w:r>
        <w:t xml:space="preserve">we </w:t>
      </w:r>
      <w:r w:rsidRPr="006528B0">
        <w:t>launch</w:t>
      </w:r>
      <w:r>
        <w:t>ed</w:t>
      </w:r>
      <w:r w:rsidRPr="006528B0">
        <w:t xml:space="preserve"> our mental health policy </w:t>
      </w:r>
      <w:r>
        <w:t>that had been designed with the assistance of a group of staff who have experienced mental ill health;</w:t>
      </w:r>
    </w:p>
    <w:p w14:paraId="1BFE9646" w14:textId="77777777" w:rsidR="00B22970" w:rsidRDefault="00B22970" w:rsidP="00FB7171">
      <w:pPr>
        <w:pStyle w:val="4Bulletlist"/>
      </w:pPr>
      <w:r w:rsidRPr="006528B0">
        <w:t>we introduced a member of the Management Board as our Mental Health Champion</w:t>
      </w:r>
      <w:r>
        <w:t>;</w:t>
      </w:r>
      <w:r w:rsidRPr="006528B0">
        <w:t xml:space="preserve"> </w:t>
      </w:r>
    </w:p>
    <w:p w14:paraId="10D7BBF2" w14:textId="20A5606A" w:rsidR="00B22970" w:rsidRDefault="00B22970" w:rsidP="00FB7171">
      <w:pPr>
        <w:pStyle w:val="4Bulletlist"/>
      </w:pPr>
      <w:r>
        <w:t xml:space="preserve">we held </w:t>
      </w:r>
      <w:r w:rsidRPr="006528B0">
        <w:t xml:space="preserve">Time to Change </w:t>
      </w:r>
      <w:r>
        <w:t>t</w:t>
      </w:r>
      <w:r w:rsidRPr="006528B0">
        <w:t xml:space="preserve">alks, where staff were able to hear </w:t>
      </w:r>
      <w:r w:rsidR="002F7ECA">
        <w:t>directly</w:t>
      </w:r>
      <w:r>
        <w:t xml:space="preserve"> from people who had experienced mental ill health;</w:t>
      </w:r>
      <w:r w:rsidRPr="006528B0">
        <w:t xml:space="preserve"> </w:t>
      </w:r>
      <w:r>
        <w:t>and</w:t>
      </w:r>
    </w:p>
    <w:p w14:paraId="3F51F573" w14:textId="2FCF1350" w:rsidR="00BD1955" w:rsidRDefault="00B22970" w:rsidP="00FB7171">
      <w:pPr>
        <w:pStyle w:val="4Bulletlist"/>
      </w:pPr>
      <w:r>
        <w:t xml:space="preserve">we delivered </w:t>
      </w:r>
      <w:r w:rsidRPr="006528B0">
        <w:t>mental health awareness training</w:t>
      </w:r>
      <w:r>
        <w:t xml:space="preserve"> to staff</w:t>
      </w:r>
      <w:r w:rsidRPr="006528B0">
        <w:t xml:space="preserve">. </w:t>
      </w:r>
    </w:p>
    <w:p w14:paraId="46422201" w14:textId="0C5F18D5" w:rsidR="00B22970" w:rsidRPr="006528B0" w:rsidRDefault="00B22970" w:rsidP="00B22970">
      <w:pPr>
        <w:pStyle w:val="2Sub-headings"/>
      </w:pPr>
      <w:r w:rsidRPr="006528B0">
        <w:t xml:space="preserve">Flexible working </w:t>
      </w:r>
    </w:p>
    <w:p w14:paraId="721F6969" w14:textId="41B2BB2E" w:rsidR="00BD1955" w:rsidRDefault="00B22970" w:rsidP="00B22970">
      <w:pPr>
        <w:pStyle w:val="3Copy-text"/>
      </w:pPr>
      <w:r w:rsidRPr="00B22970">
        <w:t>We have a range of flexible working options for staff. During National Work Life Balance week, which is an annual campaign to encourage employers</w:t>
      </w:r>
      <w:r w:rsidR="002F7ECA">
        <w:t xml:space="preserve"> and employees to focus on well</w:t>
      </w:r>
      <w:r w:rsidRPr="00B22970">
        <w:t>being at work, our flexible working options and the support that we have in place were promoted to staff. These policies have resulted in us being named as one of the best family-friendly places to work in the UK by Working Families. We were the only Welsh organisation named in the Top 10 Employers Working Families Awards and</w:t>
      </w:r>
      <w:r w:rsidR="002F7ECA">
        <w:t>,</w:t>
      </w:r>
      <w:r w:rsidRPr="00B22970">
        <w:t xml:space="preserve"> as such</w:t>
      </w:r>
      <w:r w:rsidR="002F7ECA">
        <w:t>,</w:t>
      </w:r>
      <w:r w:rsidRPr="00B22970">
        <w:t xml:space="preserve"> we are proud to be an exemplar employer to other organisations in Wales. </w:t>
      </w:r>
    </w:p>
    <w:p w14:paraId="3A1BD44F" w14:textId="77777777" w:rsidR="00B22970" w:rsidRPr="0025046C" w:rsidRDefault="00B22970" w:rsidP="00B22970">
      <w:pPr>
        <w:pStyle w:val="2Sub-headings"/>
      </w:pPr>
      <w:r w:rsidRPr="0025046C">
        <w:t xml:space="preserve">External recognition </w:t>
      </w:r>
    </w:p>
    <w:p w14:paraId="58ACBB95" w14:textId="0E699366" w:rsidR="00B22970" w:rsidRPr="0025046C" w:rsidRDefault="00B22970" w:rsidP="00B22970">
      <w:pPr>
        <w:pStyle w:val="3Copy-text"/>
      </w:pPr>
      <w:r w:rsidRPr="0025046C">
        <w:t>During this reporting period</w:t>
      </w:r>
      <w:r w:rsidR="006552D2">
        <w:t>,</w:t>
      </w:r>
      <w:r w:rsidRPr="0025046C">
        <w:t xml:space="preserve"> we were proud to receive new or ongoing external recognition for our diversity and inclusion activities, which include:</w:t>
      </w:r>
    </w:p>
    <w:p w14:paraId="75A517A5" w14:textId="5532927D" w:rsidR="00B22970" w:rsidRPr="0025046C" w:rsidRDefault="006552D2" w:rsidP="00FB7171">
      <w:pPr>
        <w:pStyle w:val="4Bulletlist"/>
      </w:pPr>
      <w:r>
        <w:t>being r</w:t>
      </w:r>
      <w:r w:rsidR="00B22970" w:rsidRPr="0025046C">
        <w:t>anked fifth in Stonewall’s Workplace Equality Index 2017, ranked the top public sector employer in the UK a</w:t>
      </w:r>
      <w:r w:rsidR="00B22970">
        <w:t>nd named the Top Public Sector organisation</w:t>
      </w:r>
      <w:r w:rsidR="00B22970" w:rsidRPr="0025046C">
        <w:t xml:space="preserve"> in Wales for the fourth year running. Ross Davies, our </w:t>
      </w:r>
      <w:r w:rsidR="00B22970" w:rsidRPr="0025046C">
        <w:lastRenderedPageBreak/>
        <w:t>Diversity and Inclusion Manager</w:t>
      </w:r>
      <w:r>
        <w:t>,</w:t>
      </w:r>
      <w:r w:rsidR="00B22970" w:rsidRPr="0025046C">
        <w:t xml:space="preserve"> was also named Stonewall Cymru’s Ally of the Year; </w:t>
      </w:r>
    </w:p>
    <w:p w14:paraId="598910F2" w14:textId="15B54B69" w:rsidR="00B22970" w:rsidRPr="0025046C" w:rsidRDefault="006552D2" w:rsidP="00FB7171">
      <w:pPr>
        <w:pStyle w:val="4Bulletlist"/>
      </w:pPr>
      <w:r>
        <w:t>r</w:t>
      </w:r>
      <w:r w:rsidR="00B22970" w:rsidRPr="0025046C">
        <w:t>etain</w:t>
      </w:r>
      <w:r>
        <w:t>ing</w:t>
      </w:r>
      <w:r w:rsidR="00B22970" w:rsidRPr="0025046C">
        <w:t xml:space="preserve"> our National Autistic Society Award for being an autism-friendly employer and service provider;</w:t>
      </w:r>
    </w:p>
    <w:p w14:paraId="7A5C056D" w14:textId="60C4CCC9" w:rsidR="00B22970" w:rsidRPr="0025046C" w:rsidRDefault="006552D2" w:rsidP="00FB7171">
      <w:pPr>
        <w:pStyle w:val="4Bulletlist"/>
      </w:pPr>
      <w:r>
        <w:t>being l</w:t>
      </w:r>
      <w:r w:rsidR="00B22970" w:rsidRPr="0025046C">
        <w:t>isted as a top 10 family friendly employer in the UK by Working Families Organisation;</w:t>
      </w:r>
    </w:p>
    <w:p w14:paraId="37492DEB" w14:textId="52FF05ED" w:rsidR="00B22970" w:rsidRPr="0025046C" w:rsidRDefault="006552D2" w:rsidP="00FB7171">
      <w:pPr>
        <w:pStyle w:val="4Bulletlist"/>
      </w:pPr>
      <w:r>
        <w:t>being d</w:t>
      </w:r>
      <w:r w:rsidR="00B22970" w:rsidRPr="0025046C">
        <w:t>esignated as a Disability Confident Employer and Age Positive Employer;</w:t>
      </w:r>
    </w:p>
    <w:p w14:paraId="0D736C03" w14:textId="7004D73A" w:rsidR="00B22970" w:rsidRPr="0025046C" w:rsidRDefault="006552D2" w:rsidP="00FB7171">
      <w:pPr>
        <w:pStyle w:val="4Bulletlist"/>
      </w:pPr>
      <w:r>
        <w:t>winning</w:t>
      </w:r>
      <w:r w:rsidR="00B22970" w:rsidRPr="0025046C">
        <w:t xml:space="preserve"> an Action on Hearing Loss Cymru Excellence Award</w:t>
      </w:r>
      <w:r w:rsidR="00B22970">
        <w:t xml:space="preserve"> for our service to people who are deaf or have a hearing loss</w:t>
      </w:r>
      <w:r w:rsidR="00B22970" w:rsidRPr="0025046C">
        <w:t>;</w:t>
      </w:r>
      <w:r>
        <w:t xml:space="preserve"> </w:t>
      </w:r>
    </w:p>
    <w:p w14:paraId="3DC0BCA6" w14:textId="15F2375B" w:rsidR="00B22970" w:rsidRDefault="006552D2" w:rsidP="00FB7171">
      <w:pPr>
        <w:pStyle w:val="4Bulletlist"/>
      </w:pPr>
      <w:r>
        <w:t>retaining</w:t>
      </w:r>
      <w:r w:rsidR="00B22970" w:rsidRPr="0025046C">
        <w:t xml:space="preserve"> the Investors in People Gold Standard, the international mark of global excellence. Organisations that meet the world-recognised standard reflect the</w:t>
      </w:r>
      <w:r>
        <w:t xml:space="preserve"> very best in people management</w:t>
      </w:r>
      <w:r w:rsidR="00B22970" w:rsidRPr="0025046C">
        <w:t xml:space="preserve"> and our achievement of the gold award demonstrates our continuing aim of be</w:t>
      </w:r>
      <w:r w:rsidR="00793CA1">
        <w:t>ing an employer of first choice; and</w:t>
      </w:r>
    </w:p>
    <w:p w14:paraId="57CD7EA6" w14:textId="78AE74F5" w:rsidR="00BD1955" w:rsidRDefault="00793CA1" w:rsidP="00FB7171">
      <w:pPr>
        <w:pStyle w:val="4Bulletlist"/>
      </w:pPr>
      <w:r>
        <w:t>w</w:t>
      </w:r>
      <w:r w:rsidR="006552D2" w:rsidRPr="00526AFC">
        <w:t>e were reassessed by Action on Hearing Loss for their Louder than Words Charter Mar</w:t>
      </w:r>
      <w:r w:rsidR="006552D2">
        <w:t>k and are awaiting the decision.</w:t>
      </w:r>
    </w:p>
    <w:p w14:paraId="57C9C327" w14:textId="77777777" w:rsidR="00BD1955" w:rsidRDefault="00BD1955">
      <w:pPr>
        <w:spacing w:before="0" w:after="160" w:line="259" w:lineRule="auto"/>
        <w:rPr>
          <w:rFonts w:eastAsia="Lucida Sans" w:cs="Times New Roman"/>
          <w:color w:val="414042"/>
          <w:kern w:val="24"/>
        </w:rPr>
      </w:pPr>
      <w:r>
        <w:br w:type="page"/>
      </w:r>
    </w:p>
    <w:p w14:paraId="3C0426D1" w14:textId="41BB444F" w:rsidR="00B22970" w:rsidRDefault="00EB424A" w:rsidP="00B22970">
      <w:pPr>
        <w:pStyle w:val="2Sub-headings"/>
      </w:pPr>
      <w:r>
        <w:lastRenderedPageBreak/>
        <w:t>Workplace e</w:t>
      </w:r>
      <w:r w:rsidR="00B22970" w:rsidRPr="0025046C">
        <w:t xml:space="preserve">quality </w:t>
      </w:r>
      <w:r>
        <w:t>n</w:t>
      </w:r>
      <w:r w:rsidR="00B22970" w:rsidRPr="0025046C">
        <w:t>etworks</w:t>
      </w:r>
    </w:p>
    <w:p w14:paraId="0651EF5B" w14:textId="24889CEE" w:rsidR="00B22970" w:rsidRDefault="00B22970" w:rsidP="00B22970">
      <w:pPr>
        <w:pStyle w:val="3Copy-text"/>
      </w:pPr>
      <w:r w:rsidRPr="006F1F00">
        <w:t xml:space="preserve">Our workplace equality networks </w:t>
      </w:r>
      <w:r>
        <w:t>help us to promote inclusion internally and externally by taking forward diversity campaigns, providing peer</w:t>
      </w:r>
      <w:r w:rsidR="0069409B">
        <w:t xml:space="preserve"> support, sharing best practice</w:t>
      </w:r>
      <w:r>
        <w:t xml:space="preserve"> and by helping the Assembly Commission to consider equality, diversity and inclusion in our work. </w:t>
      </w:r>
    </w:p>
    <w:p w14:paraId="105817DB" w14:textId="77777777" w:rsidR="00B22970" w:rsidRDefault="00B22970" w:rsidP="00B22970">
      <w:pPr>
        <w:pStyle w:val="3Copy-text"/>
      </w:pPr>
      <w:r>
        <w:t xml:space="preserve">Following a </w:t>
      </w:r>
      <w:r w:rsidRPr="006F1F00">
        <w:t>membership drive as part of</w:t>
      </w:r>
      <w:r>
        <w:t xml:space="preserve"> our</w:t>
      </w:r>
      <w:r w:rsidRPr="006F1F00">
        <w:t xml:space="preserve"> Diversity and Inclusion Week 2016</w:t>
      </w:r>
      <w:r>
        <w:t xml:space="preserve">, we saw the number of members and allies increase. </w:t>
      </w:r>
    </w:p>
    <w:p w14:paraId="1E97DCF7" w14:textId="4664D40A" w:rsidR="002D2897" w:rsidRDefault="003575BF" w:rsidP="00B22970">
      <w:pPr>
        <w:pStyle w:val="3Copy-text"/>
      </w:pPr>
      <w:r>
        <w:rPr>
          <w:noProof/>
          <w:lang w:eastAsia="en-GB"/>
        </w:rPr>
        <w:drawing>
          <wp:anchor distT="0" distB="0" distL="114300" distR="114300" simplePos="0" relativeHeight="251657728" behindDoc="0" locked="0" layoutInCell="1" allowOverlap="1" wp14:anchorId="109D9598" wp14:editId="3A1F20DC">
            <wp:simplePos x="0" y="0"/>
            <wp:positionH relativeFrom="column">
              <wp:posOffset>-505460</wp:posOffset>
            </wp:positionH>
            <wp:positionV relativeFrom="paragraph">
              <wp:posOffset>1340219</wp:posOffset>
            </wp:positionV>
            <wp:extent cx="7137400" cy="305117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7318" b="59998"/>
                    <a:stretch/>
                  </pic:blipFill>
                  <pic:spPr bwMode="auto">
                    <a:xfrm>
                      <a:off x="0" y="0"/>
                      <a:ext cx="7137400" cy="305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970">
        <w:t>Our</w:t>
      </w:r>
      <w:r w:rsidR="00B22970" w:rsidRPr="006F1F00">
        <w:t xml:space="preserve"> staff network co-ordinator has supported the networks to collaborate and </w:t>
      </w:r>
      <w:r w:rsidR="00B22970">
        <w:t xml:space="preserve">to </w:t>
      </w:r>
      <w:r w:rsidR="00B22970" w:rsidRPr="006F1F00">
        <w:t xml:space="preserve">contribute to equality impact assessments undertaken by Assembly Commission staff. We currently have senior </w:t>
      </w:r>
      <w:r w:rsidR="00B22970">
        <w:t>diversity</w:t>
      </w:r>
      <w:r w:rsidR="00B22970" w:rsidRPr="006F1F00">
        <w:t xml:space="preserve"> champions for race, sexual orientation</w:t>
      </w:r>
      <w:r w:rsidR="00B22970">
        <w:t xml:space="preserve"> and gender identity</w:t>
      </w:r>
      <w:r w:rsidR="00B22970" w:rsidRPr="006F1F00">
        <w:t>, gender</w:t>
      </w:r>
      <w:r w:rsidR="00523CC1">
        <w:t>, working families</w:t>
      </w:r>
      <w:r w:rsidR="00B22970" w:rsidRPr="006F1F00">
        <w:t xml:space="preserve"> and mental health. We hope to secure a senior champion for disability in the next reporting period.</w:t>
      </w:r>
    </w:p>
    <w:p w14:paraId="1FA8740A" w14:textId="770B4F17" w:rsidR="003575BF" w:rsidRDefault="003575BF" w:rsidP="00B22970">
      <w:pPr>
        <w:pStyle w:val="3Copy-text"/>
      </w:pPr>
    </w:p>
    <w:p w14:paraId="2574CF7A" w14:textId="77777777" w:rsidR="002D2897" w:rsidRDefault="002D2897">
      <w:pPr>
        <w:spacing w:before="0" w:after="160" w:line="259" w:lineRule="auto"/>
        <w:rPr>
          <w:color w:val="414042"/>
          <w:kern w:val="24"/>
        </w:rPr>
      </w:pPr>
      <w:r>
        <w:br w:type="page"/>
      </w:r>
    </w:p>
    <w:p w14:paraId="1495F38A" w14:textId="2AC21D66" w:rsidR="002D2897" w:rsidRPr="008D58FB" w:rsidRDefault="00B22970" w:rsidP="008D58FB">
      <w:pPr>
        <w:pStyle w:val="3Highlight-box"/>
        <w:rPr>
          <w:rFonts w:ascii="Montserrat" w:hAnsi="Montserrat"/>
          <w:b/>
        </w:rPr>
      </w:pPr>
      <w:r w:rsidRPr="008D58FB">
        <w:rPr>
          <w:rFonts w:ascii="Montserrat" w:hAnsi="Montserrat"/>
          <w:b/>
        </w:rPr>
        <w:lastRenderedPageBreak/>
        <w:t xml:space="preserve">CASE STUDY: Black History Month </w:t>
      </w:r>
    </w:p>
    <w:p w14:paraId="18F7D5E0" w14:textId="2FAF9E5B" w:rsidR="00382E75" w:rsidRDefault="00C664FF" w:rsidP="008D58FB">
      <w:pPr>
        <w:pStyle w:val="3Highlight-box"/>
        <w:jc w:val="center"/>
      </w:pPr>
      <w:r w:rsidRPr="005970AD">
        <w:rPr>
          <w:noProof/>
          <w:lang w:eastAsia="en-GB"/>
        </w:rPr>
        <w:drawing>
          <wp:inline distT="0" distB="0" distL="0" distR="0" wp14:anchorId="1FB4C19D" wp14:editId="747460B9">
            <wp:extent cx="3206338" cy="35070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HM sid.jpg"/>
                    <pic:cNvPicPr/>
                  </pic:nvPicPr>
                  <pic:blipFill rotWithShape="1">
                    <a:blip r:embed="rId21" cstate="print">
                      <a:extLst>
                        <a:ext uri="{28A0092B-C50C-407E-A947-70E740481C1C}">
                          <a14:useLocalDpi xmlns:a14="http://schemas.microsoft.com/office/drawing/2010/main" val="0"/>
                        </a:ext>
                      </a:extLst>
                    </a:blip>
                    <a:srcRect t="9085" b="29632"/>
                    <a:stretch/>
                  </pic:blipFill>
                  <pic:spPr bwMode="auto">
                    <a:xfrm>
                      <a:off x="0" y="0"/>
                      <a:ext cx="3246490" cy="3550961"/>
                    </a:xfrm>
                    <a:prstGeom prst="rect">
                      <a:avLst/>
                    </a:prstGeom>
                    <a:ln>
                      <a:noFill/>
                    </a:ln>
                    <a:extLst>
                      <a:ext uri="{53640926-AAD7-44D8-BBD7-CCE9431645EC}">
                        <a14:shadowObscured xmlns:a14="http://schemas.microsoft.com/office/drawing/2010/main"/>
                      </a:ext>
                    </a:extLst>
                  </pic:spPr>
                </pic:pic>
              </a:graphicData>
            </a:graphic>
          </wp:inline>
        </w:drawing>
      </w:r>
    </w:p>
    <w:p w14:paraId="52BE5DD1" w14:textId="330AA6E9" w:rsidR="00E907D8" w:rsidRDefault="00B22970" w:rsidP="00E907D8">
      <w:pPr>
        <w:pStyle w:val="3Highlight-box"/>
        <w:rPr>
          <w:noProof/>
          <w:lang w:eastAsia="en-GB"/>
        </w:rPr>
      </w:pPr>
      <w:r w:rsidRPr="006F1F00">
        <w:t>For Black History Month (BHM) in October, we had a range of activities to help promote race equality:</w:t>
      </w:r>
      <w:r w:rsidR="00E907D8" w:rsidRPr="00E907D8">
        <w:rPr>
          <w:noProof/>
          <w:lang w:eastAsia="en-GB"/>
        </w:rPr>
        <w:t xml:space="preserve"> </w:t>
      </w:r>
      <w:r w:rsidR="00E907D8">
        <w:rPr>
          <w:noProof/>
          <w:lang w:eastAsia="en-GB"/>
        </w:rPr>
        <mc:AlternateContent>
          <mc:Choice Requires="wps">
            <w:drawing>
              <wp:inline distT="0" distB="0" distL="0" distR="0" wp14:anchorId="608DB43F" wp14:editId="1EDF72B7">
                <wp:extent cx="5976000" cy="3800104"/>
                <wp:effectExtent l="0" t="0" r="0" b="10160"/>
                <wp:docPr id="11" name="Rectangle 11"/>
                <wp:cNvGraphicFramePr/>
                <a:graphic xmlns:a="http://schemas.openxmlformats.org/drawingml/2006/main">
                  <a:graphicData uri="http://schemas.microsoft.com/office/word/2010/wordprocessingShape">
                    <wps:wsp>
                      <wps:cNvSpPr/>
                      <wps:spPr>
                        <a:xfrm>
                          <a:off x="0" y="0"/>
                          <a:ext cx="5976000" cy="38001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A8BE0" w14:textId="77777777" w:rsidR="00E94285" w:rsidRPr="00E907D8" w:rsidRDefault="00E94285" w:rsidP="00E907D8">
                            <w:pPr>
                              <w:pStyle w:val="4Bulletlist"/>
                              <w:rPr>
                                <w:color w:val="282829" w:themeColor="text1"/>
                              </w:rPr>
                            </w:pPr>
                            <w:r w:rsidRPr="00E907D8">
                              <w:rPr>
                                <w:color w:val="282829" w:themeColor="text1"/>
                              </w:rPr>
                              <w:t>Our Race, Ethnicity and Cultural Heritage (REACH) workplace network promoted the concept of unconscious bias and provided tips to staff on how to recognise and address biases.</w:t>
                            </w:r>
                          </w:p>
                          <w:p w14:paraId="1274D90F" w14:textId="77777777" w:rsidR="00E94285" w:rsidRPr="00E907D8" w:rsidRDefault="00E94285" w:rsidP="00E907D8">
                            <w:pPr>
                              <w:pStyle w:val="4Bulletlist"/>
                              <w:rPr>
                                <w:color w:val="282829" w:themeColor="text1"/>
                              </w:rPr>
                            </w:pPr>
                            <w:r w:rsidRPr="00E907D8">
                              <w:rPr>
                                <w:color w:val="282829" w:themeColor="text1"/>
                              </w:rPr>
                              <w:t>We held a panel talk to acknowledge World Mental Health Day (WMHD), which fell on the 10 October, where people from various protected characteristics discussed the mental health issues faced by them or within their communities, including the Black Minority Ethnic (BME) community.</w:t>
                            </w:r>
                          </w:p>
                          <w:p w14:paraId="27B7CF45" w14:textId="77777777" w:rsidR="00E94285" w:rsidRPr="00E907D8" w:rsidRDefault="00E94285" w:rsidP="00E907D8">
                            <w:pPr>
                              <w:pStyle w:val="4Bulletlist"/>
                              <w:rPr>
                                <w:color w:val="282829" w:themeColor="text1"/>
                              </w:rPr>
                            </w:pPr>
                            <w:r w:rsidRPr="00E907D8">
                              <w:rPr>
                                <w:color w:val="282829" w:themeColor="text1"/>
                              </w:rPr>
                              <w:t xml:space="preserve">A BME Youth Engagement Question and Answer Session </w:t>
                            </w:r>
                            <w:proofErr w:type="gramStart"/>
                            <w:r w:rsidRPr="00E907D8">
                              <w:rPr>
                                <w:color w:val="282829" w:themeColor="text1"/>
                              </w:rPr>
                              <w:t>was held</w:t>
                            </w:r>
                            <w:proofErr w:type="gramEnd"/>
                            <w:r w:rsidRPr="00E907D8">
                              <w:rPr>
                                <w:color w:val="282829" w:themeColor="text1"/>
                              </w:rPr>
                              <w:t xml:space="preserve"> with the Llywydd, Elin Jones AM.</w:t>
                            </w:r>
                          </w:p>
                          <w:p w14:paraId="51975418" w14:textId="77777777" w:rsidR="00E94285" w:rsidRPr="00E907D8" w:rsidRDefault="00E94285" w:rsidP="00E907D8">
                            <w:pPr>
                              <w:pStyle w:val="4Bulletlist"/>
                              <w:rPr>
                                <w:color w:val="282829" w:themeColor="text1"/>
                              </w:rPr>
                            </w:pPr>
                            <w:r w:rsidRPr="00E907D8">
                              <w:rPr>
                                <w:color w:val="282829" w:themeColor="text1"/>
                              </w:rPr>
                              <w:t>We attended BHM community events to promote the Assembly as an inclusive organisation and employer of choice; and</w:t>
                            </w:r>
                          </w:p>
                          <w:p w14:paraId="5882FF19" w14:textId="666C21B5" w:rsidR="00E94285" w:rsidRPr="00E907D8" w:rsidRDefault="00E94285" w:rsidP="00E907D8">
                            <w:pPr>
                              <w:pStyle w:val="4Bulletlist"/>
                              <w:rPr>
                                <w:color w:val="282829" w:themeColor="text1"/>
                              </w:rPr>
                            </w:pPr>
                            <w:proofErr w:type="gramStart"/>
                            <w:r w:rsidRPr="00E907D8">
                              <w:rPr>
                                <w:color w:val="282829" w:themeColor="text1"/>
                              </w:rPr>
                              <w:t>published</w:t>
                            </w:r>
                            <w:proofErr w:type="gramEnd"/>
                            <w:r w:rsidRPr="00E907D8">
                              <w:rPr>
                                <w:color w:val="282829" w:themeColor="text1"/>
                              </w:rPr>
                              <w:t xml:space="preserve"> a suite of tweets and blog articles related to BHM.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08DB43F" id="Rectangle 11" o:spid="_x0000_s1026" style="width:470.55pt;height:29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" filled="f" stroked="f" strokeweight="1pt">
                <v:textbox inset=",0,,0">
                  <w:txbxContent>
                    <w:p w14:paraId="211A8BE0" w14:textId="77777777" w:rsidR="00E94285" w:rsidRPr="00E907D8" w:rsidRDefault="00E94285" w:rsidP="00E907D8">
                      <w:pPr>
                        <w:pStyle w:val="4Bulletlist"/>
                        <w:rPr>
                          <w:color w:val="282829" w:themeColor="text1"/>
                        </w:rPr>
                      </w:pPr>
                      <w:r w:rsidRPr="00E907D8">
                        <w:rPr>
                          <w:color w:val="282829" w:themeColor="text1"/>
                        </w:rPr>
                        <w:t>Our Race, Ethnicity and Cultural Heritage (REACH) workplace network promoted the concept of unconscious bias and provided tips to staff on how to recognise and address biases.</w:t>
                      </w:r>
                    </w:p>
                    <w:p w14:paraId="1274D90F" w14:textId="77777777" w:rsidR="00E94285" w:rsidRPr="00E907D8" w:rsidRDefault="00E94285" w:rsidP="00E907D8">
                      <w:pPr>
                        <w:pStyle w:val="4Bulletlist"/>
                        <w:rPr>
                          <w:color w:val="282829" w:themeColor="text1"/>
                        </w:rPr>
                      </w:pPr>
                      <w:r w:rsidRPr="00E907D8">
                        <w:rPr>
                          <w:color w:val="282829" w:themeColor="text1"/>
                        </w:rPr>
                        <w:t>We held a panel talk to acknowledge World Mental Health Day (WMHD), which fell on the 10 October, where people from various protected characteristics discussed the mental health issues faced by them or within their communities, including the Black Minority Ethnic (BME) community.</w:t>
                      </w:r>
                    </w:p>
                    <w:p w14:paraId="27B7CF45" w14:textId="77777777" w:rsidR="00E94285" w:rsidRPr="00E907D8" w:rsidRDefault="00E94285" w:rsidP="00E907D8">
                      <w:pPr>
                        <w:pStyle w:val="4Bulletlist"/>
                        <w:rPr>
                          <w:color w:val="282829" w:themeColor="text1"/>
                        </w:rPr>
                      </w:pPr>
                      <w:r w:rsidRPr="00E907D8">
                        <w:rPr>
                          <w:color w:val="282829" w:themeColor="text1"/>
                        </w:rPr>
                        <w:t xml:space="preserve">A BME Youth Engagement Question and Answer Session </w:t>
                      </w:r>
                      <w:proofErr w:type="gramStart"/>
                      <w:r w:rsidRPr="00E907D8">
                        <w:rPr>
                          <w:color w:val="282829" w:themeColor="text1"/>
                        </w:rPr>
                        <w:t>was held</w:t>
                      </w:r>
                      <w:proofErr w:type="gramEnd"/>
                      <w:r w:rsidRPr="00E907D8">
                        <w:rPr>
                          <w:color w:val="282829" w:themeColor="text1"/>
                        </w:rPr>
                        <w:t xml:space="preserve"> with the Llywydd, Elin Jones AM.</w:t>
                      </w:r>
                    </w:p>
                    <w:p w14:paraId="51975418" w14:textId="77777777" w:rsidR="00E94285" w:rsidRPr="00E907D8" w:rsidRDefault="00E94285" w:rsidP="00E907D8">
                      <w:pPr>
                        <w:pStyle w:val="4Bulletlist"/>
                        <w:rPr>
                          <w:color w:val="282829" w:themeColor="text1"/>
                        </w:rPr>
                      </w:pPr>
                      <w:r w:rsidRPr="00E907D8">
                        <w:rPr>
                          <w:color w:val="282829" w:themeColor="text1"/>
                        </w:rPr>
                        <w:t>We attended BHM community events to promote the Assembly as an inclusive organisation and employer of choice; and</w:t>
                      </w:r>
                    </w:p>
                    <w:p w14:paraId="5882FF19" w14:textId="666C21B5" w:rsidR="00E94285" w:rsidRPr="00E907D8" w:rsidRDefault="00E94285" w:rsidP="00E907D8">
                      <w:pPr>
                        <w:pStyle w:val="4Bulletlist"/>
                        <w:rPr>
                          <w:color w:val="282829" w:themeColor="text1"/>
                        </w:rPr>
                      </w:pPr>
                      <w:proofErr w:type="gramStart"/>
                      <w:r w:rsidRPr="00E907D8">
                        <w:rPr>
                          <w:color w:val="282829" w:themeColor="text1"/>
                        </w:rPr>
                        <w:t>published</w:t>
                      </w:r>
                      <w:proofErr w:type="gramEnd"/>
                      <w:r w:rsidRPr="00E907D8">
                        <w:rPr>
                          <w:color w:val="282829" w:themeColor="text1"/>
                        </w:rPr>
                        <w:t xml:space="preserve"> a suite of tweets and blog articles related to BHM. </w:t>
                      </w:r>
                    </w:p>
                  </w:txbxContent>
                </v:textbox>
                <w10:anchorlock/>
              </v:rect>
            </w:pict>
          </mc:Fallback>
        </mc:AlternateContent>
      </w:r>
    </w:p>
    <w:p w14:paraId="7F5ADA5A" w14:textId="77777777" w:rsidR="00C664FF" w:rsidRDefault="00C664FF" w:rsidP="00E907D8">
      <w:pPr>
        <w:pStyle w:val="3Highlight-box"/>
      </w:pPr>
    </w:p>
    <w:p w14:paraId="73AC4E02" w14:textId="77777777" w:rsidR="00B22970" w:rsidRPr="00C65626" w:rsidRDefault="00B22970" w:rsidP="00B22970">
      <w:pPr>
        <w:pStyle w:val="2Sub-headings"/>
      </w:pPr>
      <w:r>
        <w:lastRenderedPageBreak/>
        <w:t>Underrepresentation in our workforce</w:t>
      </w:r>
    </w:p>
    <w:p w14:paraId="3439A687" w14:textId="0663F003" w:rsidR="00B22970" w:rsidRDefault="00B22970" w:rsidP="00B22970">
      <w:pPr>
        <w:pStyle w:val="3Copy-text"/>
      </w:pPr>
      <w:r w:rsidRPr="006F1F00">
        <w:t>W</w:t>
      </w:r>
      <w:r>
        <w:t>e have continued to develop</w:t>
      </w:r>
      <w:r w:rsidRPr="006F1F00">
        <w:t xml:space="preserve"> an approach to address </w:t>
      </w:r>
      <w:r>
        <w:t xml:space="preserve">the </w:t>
      </w:r>
      <w:r w:rsidRPr="006F1F00">
        <w:t xml:space="preserve">underrepresentation of people who identify as Black </w:t>
      </w:r>
      <w:r>
        <w:t xml:space="preserve">and </w:t>
      </w:r>
      <w:r w:rsidRPr="006F1F00">
        <w:t>Minority Ethnic (BME) or disabled</w:t>
      </w:r>
      <w:r w:rsidR="0010493A">
        <w:t xml:space="preserve"> in our workforce</w:t>
      </w:r>
      <w:r w:rsidRPr="006F1F00">
        <w:t xml:space="preserve">. This work is building upon our existing BME action plan to support and develop our </w:t>
      </w:r>
      <w:r w:rsidR="000B56BE">
        <w:t>current</w:t>
      </w:r>
      <w:r w:rsidRPr="006F1F00">
        <w:t xml:space="preserve"> BME colleagues and also to attract and recruit people from the widest pool of talent, so that our workforce is reflective of the population it serves. Scoping work has taken place in this reporting period for developing tools for </w:t>
      </w:r>
      <w:r w:rsidR="000B56BE" w:rsidRPr="006F1F00">
        <w:t xml:space="preserve">staff </w:t>
      </w:r>
      <w:r w:rsidR="000B56BE">
        <w:t xml:space="preserve">in </w:t>
      </w:r>
      <w:r w:rsidR="000B56BE" w:rsidRPr="006F1F00">
        <w:t xml:space="preserve">managing unconscious bias </w:t>
      </w:r>
      <w:r w:rsidRPr="006F1F00">
        <w:t>and reviewing our methods for attraction and selection.</w:t>
      </w:r>
      <w:r>
        <w:t xml:space="preserve"> </w:t>
      </w:r>
    </w:p>
    <w:p w14:paraId="22B65001" w14:textId="77777777" w:rsidR="00B22970" w:rsidRDefault="00B22970" w:rsidP="00B22970">
      <w:pPr>
        <w:pStyle w:val="3Copy-text"/>
      </w:pPr>
      <w:r>
        <w:t>Our workplace networks play a vital role in helping us to take forward this agenda.</w:t>
      </w:r>
    </w:p>
    <w:p w14:paraId="4727EA5D" w14:textId="0806B8D9" w:rsidR="00B22970" w:rsidRPr="006F1F00" w:rsidRDefault="00B22970" w:rsidP="00B22970">
      <w:pPr>
        <w:pStyle w:val="3Copy-text"/>
      </w:pPr>
      <w:r>
        <w:t>Members of our Diversity and Inclusion Team are part of the Black, Asian or Minority Ethnic (</w:t>
      </w:r>
      <w:r w:rsidRPr="00F55EA8">
        <w:t>BAME</w:t>
      </w:r>
      <w:r>
        <w:t>)</w:t>
      </w:r>
      <w:r w:rsidRPr="00F55EA8">
        <w:t xml:space="preserve"> </w:t>
      </w:r>
      <w:r>
        <w:t>BAME Challenge, established by the Speaker of the House of Commons</w:t>
      </w:r>
      <w:r w:rsidR="000B56BE">
        <w:t>,</w:t>
      </w:r>
      <w:r>
        <w:t xml:space="preserve"> to</w:t>
      </w:r>
      <w:r w:rsidRPr="00F55EA8">
        <w:t xml:space="preserve"> refocus energy and commitment in UK workforces to ensure that businesses attract, recruit, retain and develop </w:t>
      </w:r>
      <w:r>
        <w:t xml:space="preserve">BAME </w:t>
      </w:r>
      <w:r w:rsidRPr="00F55EA8">
        <w:t xml:space="preserve">colleagues to </w:t>
      </w:r>
      <w:r w:rsidR="000B56BE">
        <w:t xml:space="preserve">help them </w:t>
      </w:r>
      <w:r w:rsidRPr="00F55EA8">
        <w:t>reach t</w:t>
      </w:r>
      <w:r>
        <w:t xml:space="preserve">heir potential. A report from the BAME challenge will be published later in 2017. </w:t>
      </w:r>
    </w:p>
    <w:p w14:paraId="6156CDDF" w14:textId="292B4CB0" w:rsidR="00B22970" w:rsidRPr="00413B0E" w:rsidRDefault="00B22970" w:rsidP="00B22970">
      <w:pPr>
        <w:pStyle w:val="2Sub-headings"/>
      </w:pPr>
      <w:r>
        <w:t>Learning and d</w:t>
      </w:r>
      <w:r w:rsidRPr="00413B0E">
        <w:t>evelopment opportunities</w:t>
      </w:r>
    </w:p>
    <w:p w14:paraId="32064E47" w14:textId="63D5FCAB" w:rsidR="002D2897" w:rsidRDefault="007A3595" w:rsidP="00B22970">
      <w:pPr>
        <w:pStyle w:val="3Copy-text"/>
      </w:pPr>
      <w:r>
        <w:t xml:space="preserve">In addition to our mandatory induction training and online equality learning, we continue to offer a suite of learning and development opportunities to Commission staff. </w:t>
      </w:r>
    </w:p>
    <w:p w14:paraId="234B22F6" w14:textId="77777777" w:rsidR="002D2897" w:rsidRDefault="002D2897">
      <w:pPr>
        <w:spacing w:before="0" w:after="160" w:line="259" w:lineRule="auto"/>
        <w:rPr>
          <w:color w:val="414042"/>
          <w:kern w:val="24"/>
        </w:rPr>
      </w:pPr>
      <w:r>
        <w:br w:type="page"/>
      </w:r>
    </w:p>
    <w:p w14:paraId="6EDFBA55" w14:textId="17FC468B" w:rsidR="002D2897" w:rsidRPr="008D58FB" w:rsidRDefault="007A3595" w:rsidP="008D58FB">
      <w:pPr>
        <w:pStyle w:val="3Highlight-box"/>
        <w:rPr>
          <w:rFonts w:ascii="Montserrat" w:hAnsi="Montserrat"/>
          <w:b/>
        </w:rPr>
      </w:pPr>
      <w:r w:rsidRPr="008D58FB">
        <w:rPr>
          <w:rFonts w:ascii="Montserrat" w:hAnsi="Montserrat"/>
          <w:b/>
        </w:rPr>
        <w:lastRenderedPageBreak/>
        <w:t>CASE STUDY: Div</w:t>
      </w:r>
      <w:r w:rsidR="002D2897" w:rsidRPr="008D58FB">
        <w:rPr>
          <w:rFonts w:ascii="Montserrat" w:hAnsi="Montserrat"/>
          <w:b/>
        </w:rPr>
        <w:t>ersity and Inclusion Week 2016</w:t>
      </w:r>
    </w:p>
    <w:p w14:paraId="442AF91E" w14:textId="65B1E901" w:rsidR="002D2897" w:rsidRDefault="0011457F" w:rsidP="008D58FB">
      <w:pPr>
        <w:pStyle w:val="3Highlight-box"/>
      </w:pPr>
      <w:r>
        <w:rPr>
          <w:noProof/>
          <w:lang w:eastAsia="en-GB"/>
        </w:rPr>
        <w:drawing>
          <wp:inline distT="0" distB="0" distL="0" distR="0" wp14:anchorId="7544A892" wp14:editId="1ABB2E27">
            <wp:extent cx="5976000" cy="448231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tty Campbell with Abi and Sarah 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6000" cy="4482310"/>
                    </a:xfrm>
                    <a:prstGeom prst="rect">
                      <a:avLst/>
                    </a:prstGeom>
                  </pic:spPr>
                </pic:pic>
              </a:graphicData>
            </a:graphic>
          </wp:inline>
        </w:drawing>
      </w:r>
    </w:p>
    <w:p w14:paraId="0A08B811" w14:textId="2D154E5D" w:rsidR="00B22970" w:rsidRDefault="00B22970" w:rsidP="008D58FB">
      <w:pPr>
        <w:pStyle w:val="3Highlight-box"/>
      </w:pPr>
      <w:r w:rsidRPr="006F1F00">
        <w:t>As part of our annual Diversity and Inclusion Week we raised awareness of a number of issues and promoted the Assembly as an inclusive organisation. This year was especially busy. We provided training on disability confidence, dementia awareness, supporting LGBT colle</w:t>
      </w:r>
      <w:r w:rsidR="00AD7FBA">
        <w:t>agues</w:t>
      </w:r>
      <w:r w:rsidRPr="006F1F00">
        <w:t xml:space="preserve"> and an introduction to deaf awareness and British Sign Language. Our BME and women’s workplace networks invited guest speaker Betty Campbell MBE to talk about her career as the first Black head teacher in Wales</w:t>
      </w:r>
      <w:r>
        <w:t>.</w:t>
      </w:r>
    </w:p>
    <w:p w14:paraId="4CA028FE" w14:textId="3DDB47C2" w:rsidR="00B22970" w:rsidRDefault="00B22970" w:rsidP="008D58FB">
      <w:pPr>
        <w:pStyle w:val="3Highlight-box"/>
      </w:pPr>
      <w:r w:rsidRPr="006F1F00">
        <w:t>In our internal and external communications we covered</w:t>
      </w:r>
      <w:r>
        <w:t xml:space="preserve"> a range of issues, including</w:t>
      </w:r>
      <w:r w:rsidRPr="006F1F00">
        <w:t xml:space="preserve"> unconscious bias, inclusive staff policies, human rights in Wales, equality impact assessments, invisible disabilities, text relay telephone service, prom</w:t>
      </w:r>
      <w:r w:rsidR="00AD7FBA">
        <w:t>oted our BME workplace champion</w:t>
      </w:r>
      <w:r w:rsidRPr="006F1F00">
        <w:t xml:space="preserve"> and promoted our workplace equality networks. We had a great response from staff and a lot of engagement with our social media outputs. </w:t>
      </w:r>
    </w:p>
    <w:p w14:paraId="78474A9A" w14:textId="77777777" w:rsidR="00BD1955" w:rsidRDefault="00BD1955" w:rsidP="00B22970">
      <w:pPr>
        <w:pStyle w:val="3Copy-text"/>
      </w:pPr>
    </w:p>
    <w:p w14:paraId="6E33ABF4" w14:textId="77777777" w:rsidR="00BD1955" w:rsidRPr="006F1F00" w:rsidRDefault="00BD1955" w:rsidP="00B22970">
      <w:pPr>
        <w:pStyle w:val="3Copy-text"/>
      </w:pPr>
    </w:p>
    <w:p w14:paraId="10096721" w14:textId="77777777" w:rsidR="00B22970" w:rsidRDefault="00B22970" w:rsidP="00B22970">
      <w:pPr>
        <w:pStyle w:val="2Sub-headings"/>
      </w:pPr>
      <w:r w:rsidRPr="00034123">
        <w:lastRenderedPageBreak/>
        <w:t>Going forward</w:t>
      </w:r>
      <w:r w:rsidRPr="006F1F00">
        <w:t>:</w:t>
      </w:r>
    </w:p>
    <w:p w14:paraId="4735A15F" w14:textId="1B527F87" w:rsidR="00107355" w:rsidRDefault="00107355" w:rsidP="00107355">
      <w:pPr>
        <w:pStyle w:val="4Bulletlist"/>
        <w:numPr>
          <w:ilvl w:val="0"/>
          <w:numId w:val="0"/>
        </w:numPr>
        <w:ind w:left="193" w:hanging="193"/>
      </w:pPr>
      <w:r>
        <w:t>We will</w:t>
      </w:r>
      <w:r w:rsidR="00A35D67" w:rsidRPr="00A35D67">
        <w:rPr>
          <w:rFonts w:eastAsiaTheme="minorHAnsi" w:cstheme="minorBidi"/>
        </w:rPr>
        <w:t xml:space="preserve"> </w:t>
      </w:r>
      <w:r w:rsidR="00A35D67" w:rsidRPr="00A35D67">
        <w:t xml:space="preserve">evaluate </w:t>
      </w:r>
      <w:r w:rsidR="00116A19">
        <w:t xml:space="preserve">relevant </w:t>
      </w:r>
      <w:r w:rsidR="00A35D67" w:rsidRPr="00A35D67">
        <w:t>data and use best practice to inform how we continue to build diversity and inclusion into:</w:t>
      </w:r>
    </w:p>
    <w:p w14:paraId="53C613E9" w14:textId="74CEB90C" w:rsidR="00B22970" w:rsidRDefault="00B22970" w:rsidP="00FB7171">
      <w:pPr>
        <w:pStyle w:val="4Bulletlist"/>
      </w:pPr>
      <w:r>
        <w:t>support</w:t>
      </w:r>
      <w:r w:rsidR="00A35D67">
        <w:t>ing and developing</w:t>
      </w:r>
      <w:r>
        <w:t xml:space="preserve"> our workplace equality networks and senior diversity champions</w:t>
      </w:r>
      <w:r w:rsidR="00107355">
        <w:t>;</w:t>
      </w:r>
    </w:p>
    <w:p w14:paraId="70F6B0F3" w14:textId="025C35B8" w:rsidR="00B22970" w:rsidRDefault="00B22970" w:rsidP="00FB7171">
      <w:pPr>
        <w:pStyle w:val="4Bulletlist"/>
      </w:pPr>
      <w:r>
        <w:t>identify</w:t>
      </w:r>
      <w:r w:rsidR="00A35D67">
        <w:t>ing and acting on</w:t>
      </w:r>
      <w:r>
        <w:t xml:space="preserve"> opportunities to promote the Assembly as an employer of choice to potential employees, including creating opportunities for disabled people and BME people to undertake work experience p</w:t>
      </w:r>
      <w:r w:rsidR="00107355">
        <w:t>lacements within the Assembly;</w:t>
      </w:r>
    </w:p>
    <w:p w14:paraId="42EF5C47" w14:textId="268574BD" w:rsidR="00B22970" w:rsidRDefault="00B22970" w:rsidP="00FB7171">
      <w:pPr>
        <w:pStyle w:val="4Bulletlist"/>
      </w:pPr>
      <w:r>
        <w:t>further develop</w:t>
      </w:r>
      <w:r w:rsidR="00A35D67">
        <w:t>ing</w:t>
      </w:r>
      <w:r>
        <w:t xml:space="preserve"> our approach to recruitment and attraction to encoura</w:t>
      </w:r>
      <w:r w:rsidR="00107355">
        <w:t>ge more people to consider the A</w:t>
      </w:r>
      <w:r>
        <w:t>ssembly as an employer of choice, including updating our website and undertaking recruitment outreach activities</w:t>
      </w:r>
      <w:r w:rsidR="00107355">
        <w:t>;</w:t>
      </w:r>
    </w:p>
    <w:p w14:paraId="73B3EF53" w14:textId="10FE8D3D" w:rsidR="00B22970" w:rsidRDefault="00B22970" w:rsidP="00FB7171">
      <w:pPr>
        <w:pStyle w:val="4Bulletlist"/>
      </w:pPr>
      <w:r>
        <w:t>participat</w:t>
      </w:r>
      <w:r w:rsidR="00A35D67">
        <w:t>ing</w:t>
      </w:r>
      <w:r>
        <w:t xml:space="preserve"> in </w:t>
      </w:r>
      <w:r w:rsidR="00A35D67">
        <w:t xml:space="preserve">relevant </w:t>
      </w:r>
      <w:r>
        <w:t>benchmarking and accreditation activities to ensure that we remain and inclusive employer and service provider</w:t>
      </w:r>
      <w:r w:rsidR="00527910">
        <w:t>;</w:t>
      </w:r>
      <w:r w:rsidR="00793CA1">
        <w:t xml:space="preserve"> </w:t>
      </w:r>
      <w:r w:rsidR="00A35D67">
        <w:t>and</w:t>
      </w:r>
    </w:p>
    <w:p w14:paraId="385906E9" w14:textId="3C4E3E79" w:rsidR="00B22970" w:rsidRDefault="00B22970" w:rsidP="00FB7171">
      <w:pPr>
        <w:pStyle w:val="4Bulletlist"/>
      </w:pPr>
      <w:r>
        <w:t>promot</w:t>
      </w:r>
      <w:r w:rsidR="00A35D67">
        <w:t>ing</w:t>
      </w:r>
      <w:r>
        <w:t xml:space="preserve"> equality, diversity and inclusion to our staff through training,</w:t>
      </w:r>
      <w:r w:rsidR="00527910">
        <w:t xml:space="preserve"> events</w:t>
      </w:r>
      <w:r>
        <w:t xml:space="preserve"> and sharing information to further their understanding of the different needs and experiences of their colleagues, visitors and service users</w:t>
      </w:r>
      <w:r w:rsidR="00527910">
        <w:t>.</w:t>
      </w:r>
    </w:p>
    <w:p w14:paraId="4A6AEAEA" w14:textId="77777777" w:rsidR="00B22970" w:rsidRDefault="00B22970" w:rsidP="00B22970">
      <w:pPr>
        <w:ind w:left="2880"/>
      </w:pPr>
    </w:p>
    <w:p w14:paraId="21CAB5A5" w14:textId="6170909A" w:rsidR="002D2897" w:rsidRDefault="002D2897">
      <w:pPr>
        <w:spacing w:before="0" w:after="160" w:line="259" w:lineRule="auto"/>
        <w:rPr>
          <w:rFonts w:eastAsia="Lucida Sans" w:cs="Times New Roman"/>
          <w:color w:val="414042"/>
          <w:kern w:val="24"/>
        </w:rPr>
      </w:pPr>
      <w:r>
        <w:br w:type="page"/>
      </w:r>
    </w:p>
    <w:p w14:paraId="3E7466B6" w14:textId="1FB5EF3E" w:rsidR="00F958F9" w:rsidRDefault="00DB54AE" w:rsidP="00382E75">
      <w:pPr>
        <w:pStyle w:val="1Numbered-Heading"/>
      </w:pPr>
      <w:bookmarkStart w:id="3" w:name="_Toc506543686"/>
      <w:r w:rsidRPr="00DB54AE">
        <w:lastRenderedPageBreak/>
        <w:t>Supporting Assembly Members</w:t>
      </w:r>
      <w:r>
        <w:t>, their S</w:t>
      </w:r>
      <w:r w:rsidRPr="00DB54AE">
        <w:t>taff and Assembly Business</w:t>
      </w:r>
      <w:bookmarkEnd w:id="3"/>
    </w:p>
    <w:p w14:paraId="0AFA44AB" w14:textId="7485EBB7" w:rsidR="00DB54AE" w:rsidRPr="006F1F00" w:rsidRDefault="00DB54AE" w:rsidP="00DB54AE">
      <w:pPr>
        <w:pStyle w:val="2Sub-headings"/>
      </w:pPr>
      <w:r>
        <w:t xml:space="preserve">Continuing </w:t>
      </w:r>
      <w:r w:rsidR="00EB424A">
        <w:t>professional d</w:t>
      </w:r>
      <w:r w:rsidRPr="006F1F00">
        <w:t xml:space="preserve">evelopment </w:t>
      </w:r>
    </w:p>
    <w:p w14:paraId="3E29177B" w14:textId="1A825CC4" w:rsidR="00DB54AE" w:rsidRPr="006F1F00" w:rsidRDefault="00DB54AE" w:rsidP="00DB54AE">
      <w:pPr>
        <w:pStyle w:val="3Copy-text"/>
      </w:pPr>
      <w:r w:rsidRPr="006F1F00">
        <w:t xml:space="preserve">We continue to offer a suite of training opportunities </w:t>
      </w:r>
      <w:r w:rsidR="007E7F1E">
        <w:t>that</w:t>
      </w:r>
      <w:r>
        <w:t xml:space="preserve"> is flexible yet tailored to the requirements of </w:t>
      </w:r>
      <w:r w:rsidRPr="006F1F00">
        <w:t>Assembly Members and their staff</w:t>
      </w:r>
      <w:r>
        <w:t>. Wherever possible, continuing professional development activities are provided taking into account Members’ other commitments.  During this reporting period, Members and their staff have accessed</w:t>
      </w:r>
      <w:r w:rsidRPr="006F1F00">
        <w:t xml:space="preserve"> diversity and </w:t>
      </w:r>
      <w:r>
        <w:t>i</w:t>
      </w:r>
      <w:r w:rsidRPr="006F1F00">
        <w:t>nclusion related</w:t>
      </w:r>
      <w:r>
        <w:t xml:space="preserve"> learning</w:t>
      </w:r>
      <w:r w:rsidR="007E7F1E">
        <w:t xml:space="preserve">; </w:t>
      </w:r>
      <w:r>
        <w:t>which includes</w:t>
      </w:r>
      <w:r w:rsidRPr="006F1F00">
        <w:t>:</w:t>
      </w:r>
    </w:p>
    <w:p w14:paraId="4976AED6" w14:textId="77777777" w:rsidR="00DB54AE" w:rsidRPr="006F1F00" w:rsidRDefault="00DB54AE" w:rsidP="00FB7171">
      <w:pPr>
        <w:pStyle w:val="4Bulletlist"/>
      </w:pPr>
      <w:r w:rsidRPr="006F1F00">
        <w:t>Supporting LGBT colleagues</w:t>
      </w:r>
      <w:r>
        <w:t>;</w:t>
      </w:r>
      <w:r w:rsidRPr="006F1F00">
        <w:t xml:space="preserve"> </w:t>
      </w:r>
    </w:p>
    <w:p w14:paraId="691E29D2" w14:textId="184388A2" w:rsidR="00DB54AE" w:rsidRPr="006F1F00" w:rsidRDefault="00DB54AE" w:rsidP="00FB7171">
      <w:pPr>
        <w:pStyle w:val="4Bulletlist"/>
      </w:pPr>
      <w:r w:rsidRPr="006F1F00">
        <w:t xml:space="preserve">Disability </w:t>
      </w:r>
      <w:r w:rsidR="007E7F1E">
        <w:t>c</w:t>
      </w:r>
      <w:r w:rsidRPr="006F1F00">
        <w:t>onfidence</w:t>
      </w:r>
      <w:r>
        <w:t>;</w:t>
      </w:r>
    </w:p>
    <w:p w14:paraId="45375493" w14:textId="69B252C5" w:rsidR="00DB54AE" w:rsidRPr="006F1F00" w:rsidRDefault="00DB54AE" w:rsidP="00FB7171">
      <w:pPr>
        <w:pStyle w:val="4Bulletlist"/>
      </w:pPr>
      <w:r w:rsidRPr="006F1F00">
        <w:t xml:space="preserve">Dementia </w:t>
      </w:r>
      <w:r w:rsidR="007E7F1E">
        <w:t>a</w:t>
      </w:r>
      <w:r w:rsidRPr="006F1F00">
        <w:t>wareness</w:t>
      </w:r>
      <w:r>
        <w:t>;</w:t>
      </w:r>
    </w:p>
    <w:p w14:paraId="76B46BD5" w14:textId="0B591F51" w:rsidR="00DB54AE" w:rsidRPr="006F1F00" w:rsidRDefault="00DB54AE" w:rsidP="00FB7171">
      <w:pPr>
        <w:pStyle w:val="4Bulletlist"/>
      </w:pPr>
      <w:r w:rsidRPr="006F1F00">
        <w:t xml:space="preserve">Understanding the </w:t>
      </w:r>
      <w:r w:rsidR="007E7F1E">
        <w:t>a</w:t>
      </w:r>
      <w:r w:rsidRPr="006F1F00">
        <w:t xml:space="preserve">utism </w:t>
      </w:r>
      <w:r w:rsidR="007E7F1E">
        <w:t>s</w:t>
      </w:r>
      <w:r w:rsidRPr="006F1F00">
        <w:t>pectrum</w:t>
      </w:r>
      <w:r>
        <w:t>;</w:t>
      </w:r>
    </w:p>
    <w:p w14:paraId="0299C1D2" w14:textId="6096BEF4" w:rsidR="00DB54AE" w:rsidRPr="006F1F00" w:rsidRDefault="00DB54AE" w:rsidP="00FB7171">
      <w:pPr>
        <w:pStyle w:val="4Bulletlist"/>
      </w:pPr>
      <w:r w:rsidRPr="006F1F00">
        <w:t xml:space="preserve">Conversations with </w:t>
      </w:r>
      <w:r w:rsidR="007E7F1E">
        <w:t>vulnerable p</w:t>
      </w:r>
      <w:r w:rsidRPr="006F1F00">
        <w:t>eople</w:t>
      </w:r>
      <w:r>
        <w:t>;</w:t>
      </w:r>
    </w:p>
    <w:p w14:paraId="5FAD3715" w14:textId="4759AF77" w:rsidR="00DB54AE" w:rsidRPr="006F1F00" w:rsidRDefault="00DB54AE" w:rsidP="00FB7171">
      <w:pPr>
        <w:pStyle w:val="4Bulletlist"/>
      </w:pPr>
      <w:r w:rsidRPr="006F1F00">
        <w:t xml:space="preserve">Mental </w:t>
      </w:r>
      <w:r w:rsidR="007E7F1E">
        <w:t>h</w:t>
      </w:r>
      <w:r w:rsidRPr="006F1F00">
        <w:t>ealth First Aid</w:t>
      </w:r>
      <w:r>
        <w:t>;</w:t>
      </w:r>
    </w:p>
    <w:p w14:paraId="1326F767" w14:textId="3C89E416" w:rsidR="00DB54AE" w:rsidRPr="006F1F00" w:rsidRDefault="00DB54AE" w:rsidP="00FB7171">
      <w:pPr>
        <w:pStyle w:val="4Bulletlist"/>
      </w:pPr>
      <w:r w:rsidRPr="006F1F00">
        <w:t xml:space="preserve">Mental </w:t>
      </w:r>
      <w:r w:rsidR="007E7F1E">
        <w:t>h</w:t>
      </w:r>
      <w:r w:rsidRPr="006F1F00">
        <w:t xml:space="preserve">ealth </w:t>
      </w:r>
      <w:r w:rsidR="007E7F1E">
        <w:t>a</w:t>
      </w:r>
      <w:r w:rsidRPr="006F1F00">
        <w:t>wareness</w:t>
      </w:r>
      <w:r>
        <w:t>;</w:t>
      </w:r>
      <w:r w:rsidRPr="006F1F00">
        <w:t xml:space="preserve"> </w:t>
      </w:r>
    </w:p>
    <w:p w14:paraId="58EDDB92" w14:textId="2191E554" w:rsidR="00DB54AE" w:rsidRPr="006F1F00" w:rsidRDefault="00DB54AE" w:rsidP="00FB7171">
      <w:pPr>
        <w:pStyle w:val="4Bulletlist"/>
      </w:pPr>
      <w:r w:rsidRPr="006F1F00">
        <w:t xml:space="preserve">Introduction to </w:t>
      </w:r>
      <w:r w:rsidR="007E7F1E">
        <w:t>w</w:t>
      </w:r>
      <w:r w:rsidRPr="006F1F00">
        <w:t xml:space="preserve">elfare </w:t>
      </w:r>
      <w:r w:rsidR="007E7F1E">
        <w:t>b</w:t>
      </w:r>
      <w:r w:rsidRPr="006F1F00">
        <w:t>enefits</w:t>
      </w:r>
      <w:r>
        <w:t>;</w:t>
      </w:r>
    </w:p>
    <w:p w14:paraId="380D4FE0" w14:textId="77777777" w:rsidR="00DB54AE" w:rsidRDefault="00DB54AE" w:rsidP="00FB7171">
      <w:pPr>
        <w:pStyle w:val="4Bulletlist"/>
      </w:pPr>
      <w:r w:rsidRPr="006F1F00">
        <w:t>Management training highlighting diversity and equality in the workplace</w:t>
      </w:r>
      <w:r>
        <w:t>;</w:t>
      </w:r>
    </w:p>
    <w:p w14:paraId="71BE0410" w14:textId="75178122" w:rsidR="00DB54AE" w:rsidRPr="006F1F00" w:rsidRDefault="00DB54AE" w:rsidP="00FB7171">
      <w:pPr>
        <w:pStyle w:val="4Bulletlist"/>
      </w:pPr>
      <w:r w:rsidRPr="006F1F00">
        <w:t xml:space="preserve">conferences </w:t>
      </w:r>
      <w:r>
        <w:t>covering topics such as</w:t>
      </w:r>
      <w:r w:rsidRPr="006F1F00">
        <w:t xml:space="preserve"> mental health</w:t>
      </w:r>
      <w:r>
        <w:t xml:space="preserve"> and </w:t>
      </w:r>
      <w:r w:rsidRPr="006F1F00">
        <w:t>integrated care</w:t>
      </w:r>
      <w:r w:rsidR="007E7F1E">
        <w:t>;</w:t>
      </w:r>
    </w:p>
    <w:p w14:paraId="21AEC2CA" w14:textId="27218F57" w:rsidR="00DB54AE" w:rsidRDefault="007E7F1E" w:rsidP="00FB7171">
      <w:pPr>
        <w:pStyle w:val="4Bulletlist"/>
      </w:pPr>
      <w:r>
        <w:t>d</w:t>
      </w:r>
      <w:r w:rsidR="00DB54AE" w:rsidRPr="006F1F00">
        <w:t>iversity and equality as part of the Assembly Member Support Staff induction</w:t>
      </w:r>
      <w:r w:rsidR="00DB54AE">
        <w:t>;</w:t>
      </w:r>
    </w:p>
    <w:p w14:paraId="4873854A" w14:textId="7940E652" w:rsidR="00DB54AE" w:rsidRPr="006F1F00" w:rsidRDefault="007E7F1E" w:rsidP="00FB7171">
      <w:pPr>
        <w:pStyle w:val="4Bulletlist"/>
      </w:pPr>
      <w:r>
        <w:t>o</w:t>
      </w:r>
      <w:r w:rsidR="00DB54AE">
        <w:t xml:space="preserve">nline training on having an inclusive workplace; and </w:t>
      </w:r>
      <w:r w:rsidR="00DB54AE" w:rsidRPr="006F1F00">
        <w:t xml:space="preserve"> </w:t>
      </w:r>
    </w:p>
    <w:p w14:paraId="6A13E8B6" w14:textId="142D4F1E" w:rsidR="00DB54AE" w:rsidRPr="006C5448" w:rsidRDefault="00DB54AE" w:rsidP="00FB7171">
      <w:pPr>
        <w:pStyle w:val="4Bulletlist"/>
      </w:pPr>
      <w:r w:rsidRPr="006F1F00">
        <w:t xml:space="preserve">Caseworker </w:t>
      </w:r>
      <w:r w:rsidR="006C5448" w:rsidRPr="006F1F00">
        <w:t>training</w:t>
      </w:r>
      <w:r w:rsidR="006C5448">
        <w:t>,</w:t>
      </w:r>
      <w:r w:rsidR="006C5448" w:rsidRPr="006F1F00">
        <w:t xml:space="preserve"> highlighting</w:t>
      </w:r>
      <w:r w:rsidRPr="006F1F00">
        <w:t xml:space="preserve"> issues affecting disadvantaged groups</w:t>
      </w:r>
      <w:r>
        <w:t>.</w:t>
      </w:r>
    </w:p>
    <w:p w14:paraId="18D36BC8" w14:textId="77777777" w:rsidR="00DB54AE" w:rsidRPr="006F1F00" w:rsidRDefault="00DB54AE" w:rsidP="00DB54AE">
      <w:pPr>
        <w:pStyle w:val="2Sub-headings"/>
      </w:pPr>
      <w:r>
        <w:t>Equality and access f</w:t>
      </w:r>
      <w:r w:rsidRPr="006F1F00">
        <w:t>und</w:t>
      </w:r>
    </w:p>
    <w:p w14:paraId="01DA8D16" w14:textId="7CD24C4A" w:rsidR="00DB54AE" w:rsidRDefault="00DB54AE" w:rsidP="00DB54AE">
      <w:pPr>
        <w:pStyle w:val="3Copy-text"/>
      </w:pPr>
      <w:r w:rsidRPr="006F1F00">
        <w:t>The Equality and Access fund is used by Assembly Members to engage with their constituents</w:t>
      </w:r>
      <w:r>
        <w:t xml:space="preserve"> and to provide reasonable adjustments for Members and their staff</w:t>
      </w:r>
      <w:r w:rsidRPr="006F1F00">
        <w:t xml:space="preserve">. </w:t>
      </w:r>
      <w:r>
        <w:t>During this reporting period,</w:t>
      </w:r>
      <w:r w:rsidRPr="006F1F00">
        <w:t xml:space="preserve"> the fund was used in a variety of ways, ranging from </w:t>
      </w:r>
      <w:r>
        <w:lastRenderedPageBreak/>
        <w:t>providing</w:t>
      </w:r>
      <w:r w:rsidRPr="006F1F00">
        <w:t xml:space="preserve"> translation facilities at meetings with constituents to </w:t>
      </w:r>
      <w:r>
        <w:t xml:space="preserve">improving </w:t>
      </w:r>
      <w:r w:rsidRPr="006F1F00">
        <w:t xml:space="preserve">access to Members’ constituency offices. On several occasions, the fund has been used by Members for British Sign Language </w:t>
      </w:r>
      <w:r>
        <w:t>interpretation</w:t>
      </w:r>
      <w:r w:rsidR="006C5448">
        <w:t>,</w:t>
      </w:r>
      <w:r>
        <w:t xml:space="preserve"> </w:t>
      </w:r>
      <w:r w:rsidRPr="006F1F00">
        <w:t xml:space="preserve">to communicate with constituents at meetings and events hosted by Members. The fund has </w:t>
      </w:r>
      <w:r w:rsidR="00C76CF4">
        <w:t xml:space="preserve">been used by Members in to improve access, including: </w:t>
      </w:r>
      <w:r w:rsidRPr="006F1F00">
        <w:t>translat</w:t>
      </w:r>
      <w:r w:rsidR="00C76CF4">
        <w:t>ion</w:t>
      </w:r>
      <w:r w:rsidRPr="006F1F00">
        <w:t xml:space="preserve"> </w:t>
      </w:r>
      <w:r w:rsidR="00C76CF4">
        <w:t xml:space="preserve">of </w:t>
      </w:r>
      <w:r w:rsidR="00793CA1">
        <w:t xml:space="preserve">correspondence </w:t>
      </w:r>
      <w:r w:rsidR="00793CA1" w:rsidRPr="006F1F00">
        <w:t>into</w:t>
      </w:r>
      <w:r w:rsidRPr="006F1F00">
        <w:t xml:space="preserve"> </w:t>
      </w:r>
      <w:r>
        <w:t>B</w:t>
      </w:r>
      <w:r w:rsidRPr="006F1F00">
        <w:t>raille to engage with a blind constituent</w:t>
      </w:r>
      <w:r>
        <w:t xml:space="preserve"> and </w:t>
      </w:r>
      <w:r w:rsidR="00C76CF4">
        <w:t xml:space="preserve">installation of a ramp </w:t>
      </w:r>
      <w:r>
        <w:t>t</w:t>
      </w:r>
      <w:r w:rsidRPr="006F1F00">
        <w:t xml:space="preserve">o </w:t>
      </w:r>
      <w:r>
        <w:t>ensure</w:t>
      </w:r>
      <w:r w:rsidRPr="006F1F00">
        <w:t xml:space="preserve"> wheelchair access to </w:t>
      </w:r>
      <w:r w:rsidR="00C76CF4">
        <w:t>a</w:t>
      </w:r>
      <w:r w:rsidRPr="006F1F00">
        <w:t xml:space="preserve"> constituency office</w:t>
      </w:r>
      <w:r w:rsidR="00C76CF4">
        <w:t>.</w:t>
      </w:r>
    </w:p>
    <w:p w14:paraId="386325A9" w14:textId="77777777" w:rsidR="00DB54AE" w:rsidRPr="00E907D8" w:rsidRDefault="00DB54AE" w:rsidP="00E907D8">
      <w:pPr>
        <w:pStyle w:val="3Highlight-box"/>
        <w:rPr>
          <w:rFonts w:ascii="Montserrat" w:hAnsi="Montserrat"/>
          <w:b/>
        </w:rPr>
      </w:pPr>
      <w:r w:rsidRPr="00E907D8">
        <w:rPr>
          <w:rFonts w:ascii="Montserrat" w:hAnsi="Montserrat"/>
          <w:b/>
        </w:rPr>
        <w:t>CASE STUDY: Assembly engagement in community languages</w:t>
      </w:r>
    </w:p>
    <w:p w14:paraId="4EA8A5BA" w14:textId="36D6B405" w:rsidR="00DB54AE" w:rsidRPr="00DB54AE" w:rsidRDefault="00DB54AE" w:rsidP="00E907D8">
      <w:pPr>
        <w:pStyle w:val="3Highlight-box"/>
      </w:pPr>
      <w:r w:rsidRPr="00DB54AE">
        <w:t>One Member used the Equality and Access Fund to engage with members of the Chinese community within their region. They identified the need to ensure information is readily available in the language their constituents find most accessible. They requested to produce and translate an existing Welsh and English bilingual document into Mandarin</w:t>
      </w:r>
      <w:r w:rsidR="006C5448">
        <w:t>,</w:t>
      </w:r>
      <w:r w:rsidRPr="00DB54AE">
        <w:t xml:space="preserve"> enabl</w:t>
      </w:r>
      <w:r w:rsidR="006C5448">
        <w:t>ing</w:t>
      </w:r>
      <w:r w:rsidRPr="00DB54AE">
        <w:t xml:space="preserve"> information to be communicated to constituents whose first language is Mandarin. </w:t>
      </w:r>
    </w:p>
    <w:p w14:paraId="0746EB7B" w14:textId="73BFADE1" w:rsidR="00DB54AE" w:rsidRDefault="00DB54AE" w:rsidP="00DB54AE">
      <w:pPr>
        <w:pStyle w:val="2Sub-headings"/>
      </w:pPr>
      <w:r>
        <w:t xml:space="preserve">Information, </w:t>
      </w:r>
      <w:r w:rsidRPr="00324F5F">
        <w:t>guidance</w:t>
      </w:r>
      <w:r>
        <w:t xml:space="preserve"> and awareness-raising</w:t>
      </w:r>
    </w:p>
    <w:p w14:paraId="46C487D4" w14:textId="77777777" w:rsidR="00DB54AE" w:rsidRDefault="00DB54AE" w:rsidP="00DB54AE">
      <w:pPr>
        <w:pStyle w:val="3Copy-text"/>
      </w:pPr>
      <w:r>
        <w:t>Our teams across the Assembly provide specialist advice and guidance to Assembly Members by:</w:t>
      </w:r>
    </w:p>
    <w:p w14:paraId="7C9BA80E" w14:textId="505B122E" w:rsidR="00DB54AE" w:rsidRDefault="006C5448" w:rsidP="00933158">
      <w:pPr>
        <w:pStyle w:val="4Bulletlist"/>
      </w:pPr>
      <w:r>
        <w:t>p</w:t>
      </w:r>
      <w:r w:rsidR="00DB54AE">
        <w:t>roviding employment, recruitment and management advice to Members;</w:t>
      </w:r>
    </w:p>
    <w:p w14:paraId="7A8B0B55" w14:textId="1F840F76" w:rsidR="00DB54AE" w:rsidRDefault="006C5448" w:rsidP="00933158">
      <w:pPr>
        <w:pStyle w:val="4Bulletlist"/>
      </w:pPr>
      <w:r>
        <w:t>b</w:t>
      </w:r>
      <w:r w:rsidR="00DB54AE">
        <w:t xml:space="preserve">uilding equality considerations into briefings and research provided to Members and </w:t>
      </w:r>
      <w:r w:rsidR="00A76ED7">
        <w:t>c</w:t>
      </w:r>
      <w:r w:rsidR="00DB54AE">
        <w:t>ommittees;</w:t>
      </w:r>
    </w:p>
    <w:p w14:paraId="433EAB99" w14:textId="60DF8124" w:rsidR="00DB54AE" w:rsidRDefault="006C5448" w:rsidP="00933158">
      <w:pPr>
        <w:pStyle w:val="4Bulletlist"/>
      </w:pPr>
      <w:r>
        <w:t>p</w:t>
      </w:r>
      <w:r w:rsidR="00DB54AE" w:rsidRPr="00324F5F">
        <w:t>roviding</w:t>
      </w:r>
      <w:r w:rsidR="00DB54AE">
        <w:t xml:space="preserve"> a suite of </w:t>
      </w:r>
      <w:r w:rsidR="00DB54AE" w:rsidRPr="00324F5F">
        <w:t>diversity information on our internal intranet</w:t>
      </w:r>
      <w:r>
        <w:t>,</w:t>
      </w:r>
      <w:r w:rsidR="00DB54AE">
        <w:t xml:space="preserve"> including Members’ obligations under the Equality Act 2010;</w:t>
      </w:r>
    </w:p>
    <w:p w14:paraId="5649DFD4" w14:textId="72AEA5FC" w:rsidR="00DB54AE" w:rsidRDefault="006C5448" w:rsidP="00933158">
      <w:pPr>
        <w:pStyle w:val="4Bulletlist"/>
      </w:pPr>
      <w:r>
        <w:t>e</w:t>
      </w:r>
      <w:r w:rsidR="00DB54AE">
        <w:t>nsuring Members and</w:t>
      </w:r>
      <w:r>
        <w:t xml:space="preserve"> their staff can participate in</w:t>
      </w:r>
      <w:r w:rsidR="00DB54AE">
        <w:t xml:space="preserve"> our workplace networks and diversity and inclusio</w:t>
      </w:r>
      <w:r>
        <w:t>n awareness-raising initiatives</w:t>
      </w:r>
      <w:r w:rsidR="00DB54AE">
        <w:t>; and</w:t>
      </w:r>
    </w:p>
    <w:p w14:paraId="6B1C9A49" w14:textId="540E22AA" w:rsidR="002D2897" w:rsidRDefault="006C5448" w:rsidP="00933158">
      <w:pPr>
        <w:pStyle w:val="4Bulletlist"/>
      </w:pPr>
      <w:r>
        <w:t>m</w:t>
      </w:r>
      <w:r w:rsidR="00DB54AE">
        <w:t>aking health and safety support and Personal Emergency Evacuations Plans available.</w:t>
      </w:r>
    </w:p>
    <w:p w14:paraId="3D54AF3F" w14:textId="77777777" w:rsidR="002D2897" w:rsidRDefault="002D2897">
      <w:pPr>
        <w:spacing w:before="0" w:after="160" w:line="259" w:lineRule="auto"/>
        <w:rPr>
          <w:rFonts w:eastAsia="Lucida Sans" w:cs="Times New Roman"/>
          <w:color w:val="414042"/>
          <w:kern w:val="24"/>
        </w:rPr>
      </w:pPr>
      <w:r>
        <w:br w:type="page"/>
      </w:r>
    </w:p>
    <w:p w14:paraId="4357CD4B" w14:textId="2D3144A6" w:rsidR="00DB54AE" w:rsidRPr="00324F5F" w:rsidRDefault="00EB424A" w:rsidP="00DB54AE">
      <w:pPr>
        <w:pStyle w:val="2Sub-headings"/>
      </w:pPr>
      <w:r>
        <w:lastRenderedPageBreak/>
        <w:t>Engagement with the work of c</w:t>
      </w:r>
      <w:r w:rsidR="00DB54AE">
        <w:t>ommittees</w:t>
      </w:r>
    </w:p>
    <w:p w14:paraId="1A6B89F2" w14:textId="77777777" w:rsidR="00DB54AE" w:rsidRDefault="00DB54AE" w:rsidP="00867896">
      <w:pPr>
        <w:pStyle w:val="3Copy-text"/>
      </w:pPr>
      <w:r>
        <w:t>We continue to utilise i</w:t>
      </w:r>
      <w:r w:rsidRPr="00CE0439">
        <w:t>nnovative methods of engaging</w:t>
      </w:r>
      <w:r>
        <w:t xml:space="preserve"> with people in the work of the Assembly, including applications such as </w:t>
      </w:r>
      <w:r w:rsidRPr="00CE0439">
        <w:t>Dialog</w:t>
      </w:r>
      <w:r>
        <w:t xml:space="preserve"> and Loomio to promote online conversations with a diverse range of communities across Wales.</w:t>
      </w:r>
    </w:p>
    <w:p w14:paraId="2A97B845" w14:textId="77777777" w:rsidR="00DB54AE" w:rsidRPr="006F1F00" w:rsidRDefault="00DB54AE" w:rsidP="00867896">
      <w:pPr>
        <w:pStyle w:val="3Copy-text"/>
      </w:pPr>
      <w:r>
        <w:t xml:space="preserve">We look at different ways that people can submit evidence and when inviting people to submit evidence for committee inquiries, we </w:t>
      </w:r>
      <w:r w:rsidRPr="006F1F00">
        <w:t xml:space="preserve">provide </w:t>
      </w:r>
      <w:hyperlink r:id="rId23" w:history="1">
        <w:r w:rsidRPr="00831E32">
          <w:rPr>
            <w:rStyle w:val="Hyperlink"/>
            <w:rFonts w:asciiTheme="minorHAnsi" w:hAnsiTheme="minorHAnsi"/>
          </w:rPr>
          <w:t>guidance</w:t>
        </w:r>
      </w:hyperlink>
      <w:r w:rsidRPr="006F1F00">
        <w:t xml:space="preserve"> on how they can make their written submissions more accessible</w:t>
      </w:r>
      <w:r>
        <w:t>.</w:t>
      </w:r>
    </w:p>
    <w:p w14:paraId="387C6DAB" w14:textId="77777777" w:rsidR="007F2173" w:rsidRPr="00E907D8" w:rsidRDefault="00DB54AE" w:rsidP="00E907D8">
      <w:pPr>
        <w:pStyle w:val="3Highlight-box"/>
        <w:rPr>
          <w:rFonts w:ascii="Montserrat" w:hAnsi="Montserrat"/>
          <w:b/>
        </w:rPr>
      </w:pPr>
      <w:r w:rsidRPr="00E907D8">
        <w:rPr>
          <w:rFonts w:ascii="Montserrat" w:hAnsi="Montserrat"/>
          <w:b/>
        </w:rPr>
        <w:t>CASE STUDY: Focus groups with young people with additional learning needs</w:t>
      </w:r>
    </w:p>
    <w:p w14:paraId="1C2E6DBB" w14:textId="372F7A55" w:rsidR="00DB54AE" w:rsidRPr="007F2173" w:rsidRDefault="00DB54AE" w:rsidP="00E907D8">
      <w:pPr>
        <w:pStyle w:val="3Highlight-box"/>
      </w:pPr>
      <w:r w:rsidRPr="007F2173">
        <w:t>In scrutinising the Additional Learning Needs and Education Tribunal (Wales) Bill, the Children</w:t>
      </w:r>
      <w:r w:rsidR="006C5448" w:rsidRPr="007F2173">
        <w:t>,</w:t>
      </w:r>
      <w:r w:rsidRPr="007F2173">
        <w:t xml:space="preserve"> Young People and Education Committee partnered with SNAP Cymru and Children in Wales to directly involve young people in the Stage 1 scrutiny of the Bill. </w:t>
      </w:r>
    </w:p>
    <w:p w14:paraId="412756D7" w14:textId="76EE7668" w:rsidR="00DB54AE" w:rsidRPr="006F1F00" w:rsidRDefault="00DB54AE" w:rsidP="00E907D8">
      <w:pPr>
        <w:pStyle w:val="3Highlight-box"/>
      </w:pPr>
      <w:r w:rsidRPr="006F1F00">
        <w:t>Committee Members attended workshops with young people with additional learning needs to gather their views. In addition to the workshops, a survey was promoted to enable a wider number of young people to have their say on some of the issues the Bill s</w:t>
      </w:r>
      <w:r>
        <w:t>ought</w:t>
      </w:r>
      <w:r w:rsidRPr="006F1F00">
        <w:t xml:space="preserve"> to address</w:t>
      </w:r>
      <w:r>
        <w:t xml:space="preserve">: </w:t>
      </w:r>
      <w:r w:rsidRPr="006F1F00">
        <w:t>the curren</w:t>
      </w:r>
      <w:r>
        <w:t>t level of support they receive</w:t>
      </w:r>
      <w:r w:rsidRPr="006F1F00">
        <w:t>, wh</w:t>
      </w:r>
      <w:r w:rsidR="006C5448">
        <w:t>o should be entitled to support</w:t>
      </w:r>
      <w:r w:rsidRPr="006F1F00">
        <w:t xml:space="preserve"> and where they fe</w:t>
      </w:r>
      <w:r>
        <w:t>lt</w:t>
      </w:r>
      <w:r w:rsidRPr="006F1F00">
        <w:t xml:space="preserve"> they should receive information and support from.</w:t>
      </w:r>
    </w:p>
    <w:p w14:paraId="1D3B4070" w14:textId="77777777" w:rsidR="00DB54AE" w:rsidRDefault="00DB54AE" w:rsidP="00E907D8">
      <w:pPr>
        <w:pStyle w:val="3Highlight-box"/>
      </w:pPr>
      <w:r w:rsidRPr="006F1F00">
        <w:t>The groups included Afasic Cymru in North and South Wales, Dynamic Wrexham, Bridgend College, EOTAS group, Ysgol y Gogarth, Coleg Sir Gar, Vale People First, Ysgol Uwchradd Abert</w:t>
      </w:r>
      <w:r>
        <w:t xml:space="preserve">eifi, CAVC, Heronsbridge School, </w:t>
      </w:r>
      <w:r w:rsidRPr="006F1F00">
        <w:t>Bridgend and St Christopher’s School.</w:t>
      </w:r>
      <w:r w:rsidRPr="004705DE">
        <w:t xml:space="preserve"> </w:t>
      </w:r>
    </w:p>
    <w:p w14:paraId="04E02B2C" w14:textId="0E8459D9" w:rsidR="007F2173" w:rsidRDefault="00DB54AE" w:rsidP="00E907D8">
      <w:pPr>
        <w:pStyle w:val="3Highlight-box"/>
      </w:pPr>
      <w:r w:rsidRPr="006F1F00">
        <w:t xml:space="preserve">The contributions made by young people helped the Committee in its deliberations and informed the recommendations </w:t>
      </w:r>
      <w:r>
        <w:t>it</w:t>
      </w:r>
      <w:r w:rsidRPr="006F1F00">
        <w:t xml:space="preserve"> made in </w:t>
      </w:r>
      <w:r>
        <w:t>its</w:t>
      </w:r>
      <w:r w:rsidRPr="006F1F00">
        <w:t xml:space="preserve"> report.</w:t>
      </w:r>
    </w:p>
    <w:p w14:paraId="06778DB0" w14:textId="77777777" w:rsidR="007F2173" w:rsidRDefault="007F2173">
      <w:pPr>
        <w:spacing w:before="0" w:after="160" w:line="259" w:lineRule="auto"/>
        <w:rPr>
          <w:color w:val="414042"/>
          <w:kern w:val="24"/>
        </w:rPr>
      </w:pPr>
      <w:r>
        <w:br w:type="page"/>
      </w:r>
    </w:p>
    <w:p w14:paraId="508C015A" w14:textId="5C4DAA0A" w:rsidR="00DB54AE" w:rsidRPr="00E907D8" w:rsidRDefault="00DB54AE" w:rsidP="00E907D8">
      <w:pPr>
        <w:pStyle w:val="3Highlight-box"/>
        <w:rPr>
          <w:rFonts w:ascii="Montserrat" w:hAnsi="Montserrat"/>
          <w:b/>
        </w:rPr>
      </w:pPr>
      <w:r w:rsidRPr="00E907D8">
        <w:rPr>
          <w:rFonts w:ascii="Montserrat" w:hAnsi="Montserrat"/>
          <w:b/>
        </w:rPr>
        <w:lastRenderedPageBreak/>
        <w:t>CASE STUDY: Empowering young people to submit a petition</w:t>
      </w:r>
      <w:r w:rsidR="007F2173" w:rsidRPr="00E907D8">
        <w:rPr>
          <w:rFonts w:ascii="Montserrat" w:hAnsi="Montserrat"/>
          <w:b/>
        </w:rPr>
        <w:t xml:space="preserve"> </w:t>
      </w:r>
    </w:p>
    <w:p w14:paraId="2A8119AD" w14:textId="0C288681" w:rsidR="007F2173" w:rsidRDefault="007F2173" w:rsidP="00E907D8">
      <w:pPr>
        <w:pStyle w:val="3Highlight-box"/>
      </w:pPr>
      <w:r>
        <w:rPr>
          <w:noProof/>
          <w:lang w:eastAsia="en-GB"/>
        </w:rPr>
        <w:drawing>
          <wp:inline distT="0" distB="0" distL="0" distR="0" wp14:anchorId="09BCC81A" wp14:editId="140A3F10">
            <wp:extent cx="5976000" cy="398689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zz kids petition.jpg"/>
                    <pic:cNvPicPr/>
                  </pic:nvPicPr>
                  <pic:blipFill>
                    <a:blip r:embed="rId24">
                      <a:extLst>
                        <a:ext uri="{28A0092B-C50C-407E-A947-70E740481C1C}">
                          <a14:useLocalDpi xmlns:a14="http://schemas.microsoft.com/office/drawing/2010/main" val="0"/>
                        </a:ext>
                      </a:extLst>
                    </a:blip>
                    <a:stretch>
                      <a:fillRect/>
                    </a:stretch>
                  </pic:blipFill>
                  <pic:spPr>
                    <a:xfrm>
                      <a:off x="0" y="0"/>
                      <a:ext cx="5976000" cy="3986894"/>
                    </a:xfrm>
                    <a:prstGeom prst="rect">
                      <a:avLst/>
                    </a:prstGeom>
                  </pic:spPr>
                </pic:pic>
              </a:graphicData>
            </a:graphic>
          </wp:inline>
        </w:drawing>
      </w:r>
    </w:p>
    <w:p w14:paraId="68A5A5DE" w14:textId="42098F2D" w:rsidR="00A54318" w:rsidRDefault="00DB54AE" w:rsidP="00E907D8">
      <w:pPr>
        <w:pStyle w:val="3Highlight-box"/>
      </w:pPr>
      <w:r>
        <w:t>Our</w:t>
      </w:r>
      <w:r w:rsidRPr="006F1F00">
        <w:t xml:space="preserve"> Youth Engagement and Education team have worked with different groups </w:t>
      </w:r>
      <w:r>
        <w:t>of young people from the Whizz K</w:t>
      </w:r>
      <w:r w:rsidRPr="006F1F00">
        <w:t>idz charity in North, Mid and South Wales. One of the groups worked with the team to develop a video</w:t>
      </w:r>
      <w:r w:rsidR="006C5448">
        <w:t>,</w:t>
      </w:r>
      <w:r w:rsidRPr="006F1F00">
        <w:t xml:space="preserve"> which they submitted as evidence in front of the Petitions Committee.</w:t>
      </w:r>
    </w:p>
    <w:p w14:paraId="6822129D" w14:textId="74C87FAB" w:rsidR="00E907D8" w:rsidRPr="007F2173" w:rsidRDefault="00B05EBE" w:rsidP="00E907D8">
      <w:pPr>
        <w:pStyle w:val="3Copy-text"/>
      </w:pPr>
      <w:r>
        <w:pict w14:anchorId="745ED2C3">
          <v:rect id="_x0000_i1034" style="width:0;height:1.5pt" o:hralign="center" o:hrstd="t" o:hr="t" fillcolor="#a0a0a0" stroked="f"/>
        </w:pict>
      </w:r>
    </w:p>
    <w:p w14:paraId="0D29C1A0" w14:textId="58895911" w:rsidR="00DB54AE" w:rsidRPr="00E907D8" w:rsidRDefault="00DB54AE" w:rsidP="00E907D8">
      <w:pPr>
        <w:pStyle w:val="3Highlight-box"/>
        <w:rPr>
          <w:rFonts w:ascii="Montserrat" w:hAnsi="Montserrat"/>
          <w:b/>
        </w:rPr>
      </w:pPr>
      <w:r w:rsidRPr="00E907D8">
        <w:rPr>
          <w:rFonts w:ascii="Montserrat" w:hAnsi="Montserrat"/>
          <w:b/>
        </w:rPr>
        <w:t>CASE STUDY:</w:t>
      </w:r>
      <w:r w:rsidR="006114D6" w:rsidRPr="00E907D8">
        <w:rPr>
          <w:rFonts w:ascii="Montserrat" w:hAnsi="Montserrat"/>
          <w:b/>
        </w:rPr>
        <w:t xml:space="preserve"> S</w:t>
      </w:r>
      <w:r w:rsidRPr="00E907D8">
        <w:rPr>
          <w:rFonts w:ascii="Montserrat" w:hAnsi="Montserrat"/>
          <w:b/>
        </w:rPr>
        <w:t>upport available for refugees and asylum seekers</w:t>
      </w:r>
    </w:p>
    <w:p w14:paraId="15F5C0DD" w14:textId="77777777" w:rsidR="00DB54AE" w:rsidRPr="006F1F00" w:rsidRDefault="00DB54AE" w:rsidP="00E907D8">
      <w:pPr>
        <w:pStyle w:val="3Highlight-box"/>
      </w:pPr>
      <w:r w:rsidRPr="006F1F00">
        <w:t xml:space="preserve">As part of the Equality, Local Government and Communities Committee summer consultation on its forward work programme, the support available for refugees and asylum seekers in Wales was a top priority for its stakeholders. </w:t>
      </w:r>
    </w:p>
    <w:p w14:paraId="0FF4986F" w14:textId="77777777" w:rsidR="00DB54AE" w:rsidRDefault="00DB54AE" w:rsidP="00E907D8">
      <w:pPr>
        <w:pStyle w:val="3Highlight-box"/>
      </w:pPr>
      <w:r w:rsidRPr="006F1F00">
        <w:t>Members went out to visit support groups in the Newport, Swansea and Cardiff areas: three of the largest Home Office Dispersal Areas in Wales. The purpose of these visits w</w:t>
      </w:r>
      <w:r>
        <w:t>as</w:t>
      </w:r>
      <w:r w:rsidRPr="006F1F00">
        <w:t xml:space="preserve"> to speak directly with refugees and asylum seekers and those who support them, to understand what the main problems are for refugees and asylum seekers, particularly around access to health services, housing, education and employment. </w:t>
      </w:r>
    </w:p>
    <w:p w14:paraId="03C69861" w14:textId="77777777" w:rsidR="007F2173" w:rsidRPr="006F1F00" w:rsidRDefault="007F2173" w:rsidP="00E907D8">
      <w:pPr>
        <w:pStyle w:val="3Highlight-box"/>
      </w:pPr>
    </w:p>
    <w:p w14:paraId="35888C01" w14:textId="3B1F4349" w:rsidR="00DB54AE" w:rsidRDefault="00DB54AE" w:rsidP="00E907D8">
      <w:pPr>
        <w:pStyle w:val="3Highlight-box"/>
        <w:rPr>
          <w:bCs/>
          <w:color w:val="282829" w:themeColor="text1"/>
        </w:rPr>
      </w:pPr>
      <w:r w:rsidRPr="006F1F00">
        <w:lastRenderedPageBreak/>
        <w:t>The Committee used the information gathered to help form the questions they went on to ask organisations and the Welsh Government during scrutiny sessions. The contributions of refugees and asylum seekers was referenced in the Committee’s report</w:t>
      </w:r>
      <w:r w:rsidR="00933158">
        <w:t>,</w:t>
      </w:r>
      <w:r w:rsidRPr="006F1F00">
        <w:t xml:space="preserve"> which has instigated a positive engagement between the provider of asylum accommodation in Wales and organisations who </w:t>
      </w:r>
      <w:r w:rsidRPr="006F1F00">
        <w:rPr>
          <w:bCs/>
          <w:color w:val="282829" w:themeColor="text1"/>
        </w:rPr>
        <w:t>support asylum seekers to address the serious concerns raised about the quality of housing available to refugees and asylum seekers. </w:t>
      </w:r>
    </w:p>
    <w:p w14:paraId="05AF4A71" w14:textId="020CF16A" w:rsidR="00E907D8" w:rsidRPr="004705DE" w:rsidRDefault="00B05EBE" w:rsidP="00E907D8">
      <w:pPr>
        <w:pStyle w:val="3Copy-text"/>
      </w:pPr>
      <w:r>
        <w:pict w14:anchorId="75636B01">
          <v:rect id="_x0000_i1035" style="width:0;height:1.5pt" o:hralign="center" o:hrstd="t" o:hr="t" fillcolor="#a0a0a0" stroked="f"/>
        </w:pict>
      </w:r>
    </w:p>
    <w:p w14:paraId="526FC63F" w14:textId="77777777" w:rsidR="00DB54AE" w:rsidRPr="00E907D8" w:rsidRDefault="00DB54AE" w:rsidP="00E907D8">
      <w:pPr>
        <w:pStyle w:val="3Highlight-box"/>
        <w:rPr>
          <w:rStyle w:val="Hyperlink"/>
          <w:color w:val="000000"/>
          <w:u w:val="none"/>
        </w:rPr>
      </w:pPr>
      <w:r w:rsidRPr="00E907D8">
        <w:rPr>
          <w:rFonts w:ascii="Montserrat" w:hAnsi="Montserrat"/>
          <w:b/>
        </w:rPr>
        <w:t>Case Study:</w:t>
      </w:r>
      <w:r w:rsidRPr="00E907D8">
        <w:rPr>
          <w:rFonts w:ascii="Montserrat" w:hAnsi="Montserrat"/>
        </w:rPr>
        <w:t xml:space="preserve"> </w:t>
      </w:r>
      <w:hyperlink r:id="rId25" w:history="1">
        <w:r w:rsidRPr="00E907D8">
          <w:rPr>
            <w:rStyle w:val="Hyperlink"/>
            <w:color w:val="000000"/>
            <w:u w:val="none"/>
          </w:rPr>
          <w:t>Human Rights scrutiny – lessons learnt from the Public Health (Wales) Bill</w:t>
        </w:r>
      </w:hyperlink>
    </w:p>
    <w:p w14:paraId="25154E75" w14:textId="477991AF" w:rsidR="00DB54AE" w:rsidRDefault="00DB54AE" w:rsidP="00E907D8">
      <w:pPr>
        <w:pStyle w:val="3Highlight-box"/>
        <w:rPr>
          <w:rStyle w:val="Hyperlink"/>
          <w:rFonts w:ascii="Montserrat Light" w:hAnsi="Montserrat Light"/>
          <w:b w:val="0"/>
          <w:color w:val="414042"/>
          <w:u w:val="none"/>
        </w:rPr>
      </w:pPr>
      <w:r w:rsidRPr="007F2173">
        <w:rPr>
          <w:rStyle w:val="Hyperlink"/>
          <w:rFonts w:ascii="Montserrat Light" w:hAnsi="Montserrat Light"/>
          <w:b w:val="0"/>
          <w:color w:val="414042"/>
          <w:u w:val="none"/>
        </w:rPr>
        <w:t xml:space="preserve">When the Public Health (Wales) Bill was introduced, an issue arose around human rights. The Bill, as introduced, would have restricted the right to smoke tobacco cigarettes and use e-cigarettes in a home </w:t>
      </w:r>
      <w:r w:rsidR="00933158" w:rsidRPr="007F2173">
        <w:rPr>
          <w:rStyle w:val="Hyperlink"/>
          <w:rFonts w:ascii="Montserrat Light" w:hAnsi="Montserrat Light"/>
          <w:b w:val="0"/>
          <w:color w:val="414042"/>
          <w:u w:val="none"/>
        </w:rPr>
        <w:t>t</w:t>
      </w:r>
      <w:r w:rsidRPr="007F2173">
        <w:rPr>
          <w:rStyle w:val="Hyperlink"/>
          <w:rFonts w:ascii="Montserrat Light" w:hAnsi="Montserrat Light"/>
          <w:b w:val="0"/>
          <w:color w:val="414042"/>
          <w:u w:val="none"/>
        </w:rPr>
        <w:t>h</w:t>
      </w:r>
      <w:r w:rsidR="00933158" w:rsidRPr="007F2173">
        <w:rPr>
          <w:rStyle w:val="Hyperlink"/>
          <w:rFonts w:ascii="Montserrat Light" w:hAnsi="Montserrat Light"/>
          <w:b w:val="0"/>
          <w:color w:val="414042"/>
          <w:u w:val="none"/>
        </w:rPr>
        <w:t>at</w:t>
      </w:r>
      <w:r w:rsidRPr="007F2173">
        <w:rPr>
          <w:rStyle w:val="Hyperlink"/>
          <w:rFonts w:ascii="Montserrat Light" w:hAnsi="Montserrat Light"/>
          <w:b w:val="0"/>
          <w:color w:val="414042"/>
          <w:u w:val="none"/>
        </w:rPr>
        <w:t xml:space="preserve"> was also a workplace. However, Article 8 of the European Convention on Human Rights protects the right to respect for the home (including the right to do what you want in your own home). Therefore, there was a potential conflict between (a) the state restricting the right to smoke tobacco cigarettes and use e-cigarettes in the home, and (b) the right to do what you want in your own home.</w:t>
      </w:r>
    </w:p>
    <w:p w14:paraId="2B7EB7BA" w14:textId="4D356F1F" w:rsidR="00E907D8" w:rsidRDefault="00E907D8" w:rsidP="00E907D8">
      <w:pPr>
        <w:pStyle w:val="3Highlight-box"/>
        <w:rPr>
          <w:rStyle w:val="Hyperlink"/>
          <w:rFonts w:ascii="Montserrat Light" w:hAnsi="Montserrat Light"/>
          <w:b w:val="0"/>
          <w:color w:val="414042"/>
          <w:u w:val="none"/>
        </w:rPr>
      </w:pPr>
      <w:r w:rsidRPr="00E907D8">
        <w:rPr>
          <w:rStyle w:val="Hyperlink"/>
          <w:rFonts w:ascii="Montserrat Light" w:hAnsi="Montserrat Light"/>
          <w:b w:val="0"/>
          <w:color w:val="414042"/>
          <w:u w:val="none"/>
        </w:rPr>
        <w:t>To ensure that the Assembly carefully considered human rights, our teams:</w:t>
      </w:r>
    </w:p>
    <w:p w14:paraId="4ACE34EE" w14:textId="48FA289D" w:rsidR="00E907D8" w:rsidRDefault="00E907D8" w:rsidP="00E907D8">
      <w:pPr>
        <w:pStyle w:val="3Highlight-box"/>
        <w:rPr>
          <w:rStyle w:val="Hyperlink"/>
          <w:rFonts w:ascii="Montserrat Light" w:hAnsi="Montserrat Light"/>
          <w:b w:val="0"/>
          <w:color w:val="414042"/>
          <w:u w:val="none"/>
        </w:rPr>
      </w:pPr>
      <w:r w:rsidRPr="00E907D8">
        <w:rPr>
          <w:noProof/>
          <w:color w:val="auto"/>
          <w:lang w:eastAsia="en-GB"/>
        </w:rPr>
        <mc:AlternateContent>
          <mc:Choice Requires="wps">
            <w:drawing>
              <wp:inline distT="0" distB="0" distL="0" distR="0" wp14:anchorId="3FF4FAA2" wp14:editId="22B686C7">
                <wp:extent cx="5976000" cy="1852551"/>
                <wp:effectExtent l="0" t="0" r="0" b="0"/>
                <wp:docPr id="13" name="Rectangle 13"/>
                <wp:cNvGraphicFramePr/>
                <a:graphic xmlns:a="http://schemas.openxmlformats.org/drawingml/2006/main">
                  <a:graphicData uri="http://schemas.microsoft.com/office/word/2010/wordprocessingShape">
                    <wps:wsp>
                      <wps:cNvSpPr/>
                      <wps:spPr>
                        <a:xfrm>
                          <a:off x="0" y="0"/>
                          <a:ext cx="5976000" cy="1852551"/>
                        </a:xfrm>
                        <a:prstGeom prst="rect">
                          <a:avLst/>
                        </a:prstGeom>
                        <a:noFill/>
                        <a:ln w="12700" cap="flat" cmpd="sng" algn="ctr">
                          <a:noFill/>
                          <a:prstDash val="solid"/>
                          <a:miter lim="800000"/>
                        </a:ln>
                        <a:effectLst/>
                      </wps:spPr>
                      <wps:txbx>
                        <w:txbxContent>
                          <w:p w14:paraId="0F1556BA" w14:textId="77777777" w:rsidR="00E94285" w:rsidRPr="00933158" w:rsidRDefault="00E94285" w:rsidP="00E907D8">
                            <w:pPr>
                              <w:pStyle w:val="4Bulletlist"/>
                            </w:pPr>
                            <w:r w:rsidRPr="00933158">
                              <w:t>briefed the Committee on the importance of carefully and properly considering the issues;</w:t>
                            </w:r>
                          </w:p>
                          <w:p w14:paraId="40ACD53E" w14:textId="77777777" w:rsidR="00E94285" w:rsidRPr="00933158" w:rsidRDefault="00E94285" w:rsidP="00E907D8">
                            <w:pPr>
                              <w:pStyle w:val="4Bulletlist"/>
                            </w:pPr>
                            <w:r w:rsidRPr="00933158">
                              <w:t>identified expert witnesses who formed a focused evidence session; and</w:t>
                            </w:r>
                          </w:p>
                          <w:p w14:paraId="2CFB7562" w14:textId="01963010" w:rsidR="00E94285" w:rsidRPr="00E907D8" w:rsidRDefault="00E94285" w:rsidP="00E94285">
                            <w:pPr>
                              <w:pStyle w:val="4Bulletlist"/>
                              <w:rPr>
                                <w:color w:val="282829" w:themeColor="text1"/>
                              </w:rPr>
                            </w:pPr>
                            <w:proofErr w:type="gramStart"/>
                            <w:r w:rsidRPr="00933158">
                              <w:t>prepared</w:t>
                            </w:r>
                            <w:proofErr w:type="gramEnd"/>
                            <w:r w:rsidRPr="00933158">
                              <w:t xml:space="preserve"> focused questions for the Committee to ask those witnesses.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ect w14:anchorId="3FF4FAA2" id="Rectangle 13" o:spid="_x0000_s1027" style="width:470.55pt;height:1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" filled="f" stroked="f" strokeweight="1pt">
                <v:textbox inset=",0,,0">
                  <w:txbxContent>
                    <w:p w14:paraId="0F1556BA" w14:textId="77777777" w:rsidR="00E94285" w:rsidRPr="00933158" w:rsidRDefault="00E94285" w:rsidP="00E907D8">
                      <w:pPr>
                        <w:pStyle w:val="4Bulletlist"/>
                      </w:pPr>
                      <w:r w:rsidRPr="00933158">
                        <w:t>briefed the Committee on the importance of carefully and properly considering the issues;</w:t>
                      </w:r>
                    </w:p>
                    <w:p w14:paraId="40ACD53E" w14:textId="77777777" w:rsidR="00E94285" w:rsidRPr="00933158" w:rsidRDefault="00E94285" w:rsidP="00E907D8">
                      <w:pPr>
                        <w:pStyle w:val="4Bulletlist"/>
                      </w:pPr>
                      <w:r w:rsidRPr="00933158">
                        <w:t>identified expert witnesses who formed a focused evidence session; and</w:t>
                      </w:r>
                    </w:p>
                    <w:p w14:paraId="2CFB7562" w14:textId="01963010" w:rsidR="00E94285" w:rsidRPr="00E907D8" w:rsidRDefault="00E94285" w:rsidP="00E94285">
                      <w:pPr>
                        <w:pStyle w:val="4Bulletlist"/>
                        <w:rPr>
                          <w:color w:val="282829" w:themeColor="text1"/>
                        </w:rPr>
                      </w:pPr>
                      <w:proofErr w:type="gramStart"/>
                      <w:r w:rsidRPr="00933158">
                        <w:t>prepared</w:t>
                      </w:r>
                      <w:proofErr w:type="gramEnd"/>
                      <w:r w:rsidRPr="00933158">
                        <w:t xml:space="preserve"> focused questions for the Committee to ask those witnesses.</w:t>
                      </w:r>
                    </w:p>
                  </w:txbxContent>
                </v:textbox>
                <w10:anchorlock/>
              </v:rect>
            </w:pict>
          </mc:Fallback>
        </mc:AlternateContent>
      </w:r>
    </w:p>
    <w:p w14:paraId="45962049" w14:textId="77777777" w:rsidR="00E907D8" w:rsidRDefault="00E907D8" w:rsidP="00E907D8">
      <w:pPr>
        <w:pStyle w:val="4Bulletlist"/>
        <w:numPr>
          <w:ilvl w:val="0"/>
          <w:numId w:val="0"/>
        </w:numPr>
      </w:pPr>
    </w:p>
    <w:p w14:paraId="06782A9D" w14:textId="77777777" w:rsidR="00E907D8" w:rsidRDefault="00E907D8" w:rsidP="00E907D8">
      <w:pPr>
        <w:pStyle w:val="4Bulletlist"/>
        <w:numPr>
          <w:ilvl w:val="0"/>
          <w:numId w:val="0"/>
        </w:numPr>
      </w:pPr>
    </w:p>
    <w:p w14:paraId="4B076B6D" w14:textId="77777777" w:rsidR="00E907D8" w:rsidRDefault="00E907D8" w:rsidP="00E907D8">
      <w:pPr>
        <w:pStyle w:val="4Bulletlist"/>
        <w:numPr>
          <w:ilvl w:val="0"/>
          <w:numId w:val="0"/>
        </w:numPr>
      </w:pPr>
    </w:p>
    <w:p w14:paraId="76B11CBF" w14:textId="77777777" w:rsidR="00E907D8" w:rsidRDefault="00E907D8" w:rsidP="00E907D8">
      <w:pPr>
        <w:pStyle w:val="4Bulletlist"/>
        <w:numPr>
          <w:ilvl w:val="0"/>
          <w:numId w:val="0"/>
        </w:numPr>
      </w:pPr>
    </w:p>
    <w:p w14:paraId="03A8B7AA" w14:textId="77777777" w:rsidR="00E907D8" w:rsidRPr="00933158" w:rsidRDefault="00E907D8" w:rsidP="00E907D8">
      <w:pPr>
        <w:pStyle w:val="4Bulletlist"/>
        <w:numPr>
          <w:ilvl w:val="0"/>
          <w:numId w:val="0"/>
        </w:numPr>
      </w:pPr>
    </w:p>
    <w:p w14:paraId="13F39BD0" w14:textId="77777777" w:rsidR="00DB54AE" w:rsidRPr="00E907D8" w:rsidRDefault="00DB54AE" w:rsidP="00E907D8">
      <w:pPr>
        <w:pStyle w:val="3Highlight-box"/>
        <w:rPr>
          <w:rFonts w:ascii="Montserrat" w:hAnsi="Montserrat"/>
          <w:b/>
        </w:rPr>
      </w:pPr>
      <w:r w:rsidRPr="00E907D8">
        <w:rPr>
          <w:rFonts w:ascii="Montserrat" w:hAnsi="Montserrat"/>
          <w:b/>
        </w:rPr>
        <w:lastRenderedPageBreak/>
        <w:t>CASE STUDY: Taking evidence from witnesses with dementia</w:t>
      </w:r>
    </w:p>
    <w:p w14:paraId="03AD32FD" w14:textId="77777777" w:rsidR="00DB54AE" w:rsidRPr="006F1F00" w:rsidRDefault="00DB54AE" w:rsidP="00E907D8">
      <w:pPr>
        <w:pStyle w:val="3Highlight-box"/>
      </w:pPr>
      <w:r w:rsidRPr="006F1F00">
        <w:t>On 9 March 2017, six people living with dementia gave evidence to the Health, Social Care and Sport Committee. Three of those attending were diagnosed with dementia, two of those having a diagnosis of early on-set dementia. The other three witnesses were carers of people with dementia</w:t>
      </w:r>
      <w:r>
        <w:t>.</w:t>
      </w:r>
      <w:r w:rsidRPr="006F1F00">
        <w:t xml:space="preserve"> </w:t>
      </w:r>
    </w:p>
    <w:p w14:paraId="2689BEC5" w14:textId="77777777" w:rsidR="00DB54AE" w:rsidRDefault="00DB54AE" w:rsidP="00E907D8">
      <w:pPr>
        <w:pStyle w:val="3Highlight-box"/>
      </w:pPr>
      <w:r w:rsidRPr="006F1F00">
        <w:t xml:space="preserve">Advance preparation was key to the success of the session. We: </w:t>
      </w:r>
    </w:p>
    <w:p w14:paraId="66FA88FF" w14:textId="3B94315B" w:rsidR="00E907D8" w:rsidRDefault="00E907D8" w:rsidP="00E907D8">
      <w:pPr>
        <w:pStyle w:val="3Highlight-box"/>
      </w:pPr>
      <w:r w:rsidRPr="00E907D8">
        <w:rPr>
          <w:noProof/>
          <w:color w:val="auto"/>
          <w:lang w:eastAsia="en-GB"/>
        </w:rPr>
        <mc:AlternateContent>
          <mc:Choice Requires="wps">
            <w:drawing>
              <wp:inline distT="0" distB="0" distL="0" distR="0" wp14:anchorId="3F363D9C" wp14:editId="0F10F13B">
                <wp:extent cx="5976000" cy="3550722"/>
                <wp:effectExtent l="0" t="0" r="0" b="12065"/>
                <wp:docPr id="16" name="Rectangle 16"/>
                <wp:cNvGraphicFramePr/>
                <a:graphic xmlns:a="http://schemas.openxmlformats.org/drawingml/2006/main">
                  <a:graphicData uri="http://schemas.microsoft.com/office/word/2010/wordprocessingShape">
                    <wps:wsp>
                      <wps:cNvSpPr/>
                      <wps:spPr>
                        <a:xfrm>
                          <a:off x="0" y="0"/>
                          <a:ext cx="5976000" cy="3550722"/>
                        </a:xfrm>
                        <a:prstGeom prst="rect">
                          <a:avLst/>
                        </a:prstGeom>
                        <a:noFill/>
                        <a:ln w="12700" cap="flat" cmpd="sng" algn="ctr">
                          <a:noFill/>
                          <a:prstDash val="solid"/>
                          <a:miter lim="800000"/>
                        </a:ln>
                        <a:effectLst/>
                      </wps:spPr>
                      <wps:txbx>
                        <w:txbxContent>
                          <w:p w14:paraId="6CFEF719" w14:textId="77777777" w:rsidR="00E94285" w:rsidRPr="004E6963" w:rsidRDefault="00E94285" w:rsidP="00E907D8">
                            <w:pPr>
                              <w:pStyle w:val="4Bulletlist"/>
                            </w:pPr>
                            <w:r>
                              <w:t>e</w:t>
                            </w:r>
                            <w:r w:rsidRPr="004E6963">
                              <w:t>nsured that the witnesses had a full understanding of the implications of giving evidence on the record</w:t>
                            </w:r>
                            <w:r>
                              <w:t>;</w:t>
                            </w:r>
                          </w:p>
                          <w:p w14:paraId="0C5A65E8" w14:textId="77777777" w:rsidR="00E94285" w:rsidRPr="004E6963" w:rsidRDefault="00E94285" w:rsidP="00E907D8">
                            <w:pPr>
                              <w:pStyle w:val="4Bulletlist"/>
                            </w:pPr>
                            <w:proofErr w:type="gramStart"/>
                            <w:r>
                              <w:t>a</w:t>
                            </w:r>
                            <w:r w:rsidRPr="004E6963">
                              <w:t>rranged</w:t>
                            </w:r>
                            <w:proofErr w:type="gramEnd"/>
                            <w:r w:rsidRPr="004E6963">
                              <w:t xml:space="preserve"> for them to visit the </w:t>
                            </w:r>
                            <w:r>
                              <w:t>c</w:t>
                            </w:r>
                            <w:r w:rsidRPr="004E6963">
                              <w:t>ommittee room in advance. We trialled the translation equipment and explained how the session would run; who would be in the room; explained there may be noise from people coming in and out of the public gallery</w:t>
                            </w:r>
                            <w:r>
                              <w:t>;</w:t>
                            </w:r>
                          </w:p>
                          <w:p w14:paraId="03043772" w14:textId="77777777" w:rsidR="00E94285" w:rsidRPr="004E6963" w:rsidRDefault="00E94285" w:rsidP="00E907D8">
                            <w:pPr>
                              <w:pStyle w:val="4Bulletlist"/>
                            </w:pPr>
                            <w:r>
                              <w:t>g</w:t>
                            </w:r>
                            <w:r w:rsidRPr="004E6963">
                              <w:t>ave them a table plan of where everyone would be sitting and an A4 sheet with photographs of all the A</w:t>
                            </w:r>
                            <w:r>
                              <w:t>ssembly Members</w:t>
                            </w:r>
                            <w:r w:rsidRPr="004E6963">
                              <w:t xml:space="preserve"> who would be present;</w:t>
                            </w:r>
                            <w:r>
                              <w:t xml:space="preserve"> and</w:t>
                            </w:r>
                          </w:p>
                          <w:p w14:paraId="393428FB" w14:textId="64A5C06C" w:rsidR="00E94285" w:rsidRPr="00E907D8" w:rsidRDefault="00E94285" w:rsidP="00E94285">
                            <w:pPr>
                              <w:pStyle w:val="4Bulletlist"/>
                              <w:rPr>
                                <w:color w:val="282829" w:themeColor="text1"/>
                              </w:rPr>
                            </w:pPr>
                            <w:proofErr w:type="gramStart"/>
                            <w:r>
                              <w:t>e</w:t>
                            </w:r>
                            <w:r w:rsidRPr="004E6963">
                              <w:t>nabled</w:t>
                            </w:r>
                            <w:proofErr w:type="gramEnd"/>
                            <w:r w:rsidRPr="004E6963">
                              <w:t xml:space="preserve"> them to feel comfortable when contributing by allowing the witnesses to use cards to show when they wanted to contribute during the meeting, a process that they are familiar with from</w:t>
                            </w:r>
                            <w:r>
                              <w:t xml:space="preserve"> their support group meetings.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ect w14:anchorId="3F363D9C" id="Rectangle 16" o:spid="_x0000_s1028" style="width:470.55pt;height:2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" filled="f" stroked="f" strokeweight="1pt">
                <v:textbox inset=",0,,0">
                  <w:txbxContent>
                    <w:p w14:paraId="6CFEF719" w14:textId="77777777" w:rsidR="00E94285" w:rsidRPr="004E6963" w:rsidRDefault="00E94285" w:rsidP="00E907D8">
                      <w:pPr>
                        <w:pStyle w:val="4Bulletlist"/>
                      </w:pPr>
                      <w:r>
                        <w:t>e</w:t>
                      </w:r>
                      <w:r w:rsidRPr="004E6963">
                        <w:t>nsured that the witnesses had a full understanding of the implications of giving evidence on the record</w:t>
                      </w:r>
                      <w:r>
                        <w:t>;</w:t>
                      </w:r>
                    </w:p>
                    <w:p w14:paraId="0C5A65E8" w14:textId="77777777" w:rsidR="00E94285" w:rsidRPr="004E6963" w:rsidRDefault="00E94285" w:rsidP="00E907D8">
                      <w:pPr>
                        <w:pStyle w:val="4Bulletlist"/>
                      </w:pPr>
                      <w:proofErr w:type="gramStart"/>
                      <w:r>
                        <w:t>a</w:t>
                      </w:r>
                      <w:r w:rsidRPr="004E6963">
                        <w:t>rranged</w:t>
                      </w:r>
                      <w:proofErr w:type="gramEnd"/>
                      <w:r w:rsidRPr="004E6963">
                        <w:t xml:space="preserve"> for them to visit the </w:t>
                      </w:r>
                      <w:r>
                        <w:t>c</w:t>
                      </w:r>
                      <w:r w:rsidRPr="004E6963">
                        <w:t>ommittee room in advance. We trialled the translation equipment and explained how the session would run; who would be in the room; explained there may be noise from people coming in and out of the public gallery</w:t>
                      </w:r>
                      <w:r>
                        <w:t>;</w:t>
                      </w:r>
                    </w:p>
                    <w:p w14:paraId="03043772" w14:textId="77777777" w:rsidR="00E94285" w:rsidRPr="004E6963" w:rsidRDefault="00E94285" w:rsidP="00E907D8">
                      <w:pPr>
                        <w:pStyle w:val="4Bulletlist"/>
                      </w:pPr>
                      <w:r>
                        <w:t>g</w:t>
                      </w:r>
                      <w:r w:rsidRPr="004E6963">
                        <w:t>ave them a table plan of where everyone would be sitting and an A4 sheet with photographs of all the A</w:t>
                      </w:r>
                      <w:r>
                        <w:t>ssembly Members</w:t>
                      </w:r>
                      <w:r w:rsidRPr="004E6963">
                        <w:t xml:space="preserve"> who would be present;</w:t>
                      </w:r>
                      <w:r>
                        <w:t xml:space="preserve"> and</w:t>
                      </w:r>
                    </w:p>
                    <w:p w14:paraId="393428FB" w14:textId="64A5C06C" w:rsidR="00E94285" w:rsidRPr="00E907D8" w:rsidRDefault="00E94285" w:rsidP="00E94285">
                      <w:pPr>
                        <w:pStyle w:val="4Bulletlist"/>
                        <w:rPr>
                          <w:color w:val="282829" w:themeColor="text1"/>
                        </w:rPr>
                      </w:pPr>
                      <w:proofErr w:type="gramStart"/>
                      <w:r>
                        <w:t>e</w:t>
                      </w:r>
                      <w:r w:rsidRPr="004E6963">
                        <w:t>nabled</w:t>
                      </w:r>
                      <w:proofErr w:type="gramEnd"/>
                      <w:r w:rsidRPr="004E6963">
                        <w:t xml:space="preserve"> them to feel comfortable when contributing by allowing the witnesses to use cards to show when they wanted to contribute during the meeting, a process that they are familiar with from</w:t>
                      </w:r>
                      <w:r>
                        <w:t xml:space="preserve"> their support group meetings.</w:t>
                      </w:r>
                    </w:p>
                  </w:txbxContent>
                </v:textbox>
                <w10:anchorlock/>
              </v:rect>
            </w:pict>
          </mc:Fallback>
        </mc:AlternateContent>
      </w:r>
    </w:p>
    <w:p w14:paraId="5BB31149" w14:textId="77777777" w:rsidR="00DB54AE" w:rsidRPr="006F1F00" w:rsidRDefault="00DB54AE" w:rsidP="00E907D8">
      <w:pPr>
        <w:pStyle w:val="3Highlight-box"/>
      </w:pPr>
      <w:r w:rsidRPr="006F1F00">
        <w:t>At the end of the meeting, several of the witnesses took up the offer to take part in a tour of the Senedd. They also offered to work with relevant Assembly staff to produce a guide to visiting the Assembly for people with dementia.</w:t>
      </w:r>
    </w:p>
    <w:p w14:paraId="5E7773D6" w14:textId="27A3AF70" w:rsidR="00A03923" w:rsidRDefault="00A03923">
      <w:pPr>
        <w:rPr>
          <w:color w:val="414042"/>
          <w:kern w:val="24"/>
        </w:rPr>
      </w:pPr>
      <w:r>
        <w:br w:type="page"/>
      </w:r>
    </w:p>
    <w:p w14:paraId="7FAB090A" w14:textId="6F5BE1B5" w:rsidR="00DB54AE" w:rsidRPr="006F1F00" w:rsidRDefault="00EB424A" w:rsidP="006114D6">
      <w:pPr>
        <w:pStyle w:val="2Sub-headings"/>
      </w:pPr>
      <w:r>
        <w:lastRenderedPageBreak/>
        <w:t>Research s</w:t>
      </w:r>
      <w:r w:rsidR="00DB54AE" w:rsidRPr="006F1F00">
        <w:t>ervice</w:t>
      </w:r>
    </w:p>
    <w:p w14:paraId="5F86B792" w14:textId="6DE114EB" w:rsidR="00DB54AE" w:rsidRPr="006F1F00" w:rsidRDefault="00DB54AE" w:rsidP="006114D6">
      <w:pPr>
        <w:pStyle w:val="3Copy-text"/>
      </w:pPr>
      <w:r w:rsidRPr="006F1F00">
        <w:t>The Research Service continued to embed the principles of equality, diversity and inclusion into all areas of its work during this reporting period</w:t>
      </w:r>
      <w:r>
        <w:t>, including</w:t>
      </w:r>
      <w:r w:rsidRPr="006F1F00">
        <w:t xml:space="preserve"> individual Members</w:t>
      </w:r>
      <w:r>
        <w:t>’</w:t>
      </w:r>
      <w:r w:rsidRPr="006F1F00">
        <w:t xml:space="preserve"> enquiries, committee work and proactive publications</w:t>
      </w:r>
      <w:r>
        <w:t>, such as blog articles</w:t>
      </w:r>
      <w:r w:rsidRPr="006F1F00">
        <w:t xml:space="preserve">. </w:t>
      </w:r>
    </w:p>
    <w:p w14:paraId="4E3D4E74" w14:textId="77777777" w:rsidR="00DB54AE" w:rsidRPr="006F1F00" w:rsidRDefault="00DB54AE" w:rsidP="006114D6">
      <w:pPr>
        <w:pStyle w:val="3Copy-text"/>
      </w:pPr>
      <w:r w:rsidRPr="006F1F00">
        <w:t>Some achievements include:</w:t>
      </w:r>
    </w:p>
    <w:p w14:paraId="20F79FFE" w14:textId="5D6994D8" w:rsidR="00DB54AE" w:rsidRPr="009432CD" w:rsidRDefault="003C6678" w:rsidP="009C2210">
      <w:pPr>
        <w:pStyle w:val="4Bulletlist"/>
      </w:pPr>
      <w:r>
        <w:t>d</w:t>
      </w:r>
      <w:r w:rsidR="00DB54AE">
        <w:t>eveloping</w:t>
      </w:r>
      <w:r w:rsidR="00DB54AE" w:rsidRPr="009432CD">
        <w:t xml:space="preserve"> a set of </w:t>
      </w:r>
      <w:r w:rsidR="00DB54AE" w:rsidRPr="006114D6">
        <w:rPr>
          <w:b/>
        </w:rPr>
        <w:t xml:space="preserve">Welsh </w:t>
      </w:r>
      <w:hyperlink r:id="rId26" w:history="1">
        <w:r w:rsidR="00DB54AE" w:rsidRPr="006114D6">
          <w:rPr>
            <w:b/>
          </w:rPr>
          <w:t>gender equality indicators</w:t>
        </w:r>
      </w:hyperlink>
      <w:r w:rsidR="00DB54AE" w:rsidRPr="009432CD">
        <w:t xml:space="preserve"> based on the best available statistical evidence to help Members scrutinise policies, legislation and budgets from a gender perspective</w:t>
      </w:r>
      <w:r>
        <w:t>;</w:t>
      </w:r>
      <w:r w:rsidR="00DB54AE" w:rsidRPr="009432CD">
        <w:t xml:space="preserve"> this was published to tie into the Assembly’s debate on International Women’s Day</w:t>
      </w:r>
      <w:r w:rsidR="00DB54AE">
        <w:t>;</w:t>
      </w:r>
    </w:p>
    <w:p w14:paraId="56C1A3AC" w14:textId="66781A73" w:rsidR="00DB54AE" w:rsidRPr="006F1F00" w:rsidRDefault="003C6678" w:rsidP="00933158">
      <w:pPr>
        <w:pStyle w:val="4Bulletlist"/>
      </w:pPr>
      <w:r>
        <w:t>u</w:t>
      </w:r>
      <w:r w:rsidR="00DB54AE" w:rsidRPr="006F1F00">
        <w:t>ndertaking an informal review of the Assembly’s progress towards being a gender-sensitive parliament against the Inter-Parliamentary Union action plan, which included a suite of practical recommendations for senior staff;</w:t>
      </w:r>
    </w:p>
    <w:p w14:paraId="5DB0D380" w14:textId="71E5279C" w:rsidR="00DB54AE" w:rsidRPr="006F1F00" w:rsidRDefault="003C6678" w:rsidP="00933158">
      <w:pPr>
        <w:pStyle w:val="4Bulletlist"/>
      </w:pPr>
      <w:r>
        <w:t>p</w:t>
      </w:r>
      <w:r w:rsidR="00DB54AE" w:rsidRPr="006F1F00">
        <w:t>roviding suggested questions for each committee on equality during the draft budget scrutiny;</w:t>
      </w:r>
    </w:p>
    <w:p w14:paraId="63AEC36B" w14:textId="6B8E94C6" w:rsidR="00DB54AE" w:rsidRPr="006F1F00" w:rsidRDefault="003C6678" w:rsidP="00933158">
      <w:pPr>
        <w:pStyle w:val="4Bulletlist"/>
      </w:pPr>
      <w:r>
        <w:t>p</w:t>
      </w:r>
      <w:r w:rsidR="00DB54AE" w:rsidRPr="006F1F00">
        <w:t>ublishing a range of blog posts on equality issues, such as violence against women, gender equality, human rights, equality and human rights, poverty and inequality, older people, hate crime, political representation and children’s rights;</w:t>
      </w:r>
    </w:p>
    <w:p w14:paraId="428BCB9E" w14:textId="6F1A53A6" w:rsidR="00DB54AE" w:rsidRPr="006F1F00" w:rsidRDefault="003C6678" w:rsidP="00933158">
      <w:pPr>
        <w:pStyle w:val="4Bulletlist"/>
      </w:pPr>
      <w:r>
        <w:t>e</w:t>
      </w:r>
      <w:r w:rsidR="00DB54AE" w:rsidRPr="006F1F00">
        <w:t>nsuring equality is integrated in the drafting of suggested terms of reference for committee inquiries (for example, the Economy, Infrastructure and Skills Committee economic strategy work; the Children, Young People and Education Committee’s inquiry into the education improvement grant; the Health, Social Care and Sport Committee’s inquiry into loneliness and isolation and the Equality, Local Government and Communities Committee’s inquiries into the Violence Against Women Act, refugees and asylum seekers and poverty); and</w:t>
      </w:r>
    </w:p>
    <w:p w14:paraId="080F4DE2" w14:textId="3BD43787" w:rsidR="00DB54AE" w:rsidRPr="006F1F00" w:rsidRDefault="00346BAA" w:rsidP="00933158">
      <w:pPr>
        <w:pStyle w:val="4Bulletlist"/>
      </w:pPr>
      <w:r>
        <w:t>p</w:t>
      </w:r>
      <w:r w:rsidR="00DB54AE" w:rsidRPr="006F1F00">
        <w:t xml:space="preserve">roviding expert advice and research on equality issues to the </w:t>
      </w:r>
      <w:r>
        <w:t>i</w:t>
      </w:r>
      <w:r w:rsidR="00DB54AE" w:rsidRPr="006F1F00">
        <w:t>ndependent Remuneration Board and the Electoral Reform Expert Panel.</w:t>
      </w:r>
    </w:p>
    <w:p w14:paraId="5ED16574" w14:textId="222DF7FF" w:rsidR="00A03923" w:rsidRDefault="00A03923">
      <w:pPr>
        <w:rPr>
          <w:color w:val="414042"/>
          <w:kern w:val="24"/>
        </w:rPr>
      </w:pPr>
      <w:r>
        <w:br w:type="page"/>
      </w:r>
    </w:p>
    <w:p w14:paraId="4E2B96A4" w14:textId="77777777" w:rsidR="00DB54AE" w:rsidRPr="006F1F00" w:rsidRDefault="00DB54AE" w:rsidP="006114D6">
      <w:pPr>
        <w:pStyle w:val="2Sub-headings"/>
      </w:pPr>
      <w:r w:rsidRPr="0045405D">
        <w:lastRenderedPageBreak/>
        <w:t>Going forward</w:t>
      </w:r>
      <w:r w:rsidRPr="006F1F00">
        <w:t>:</w:t>
      </w:r>
    </w:p>
    <w:p w14:paraId="68C3EE5F" w14:textId="76AEC494" w:rsidR="00317540" w:rsidRDefault="00317540" w:rsidP="00317540">
      <w:pPr>
        <w:pStyle w:val="4Bulletlist"/>
        <w:numPr>
          <w:ilvl w:val="0"/>
          <w:numId w:val="0"/>
        </w:numPr>
      </w:pPr>
      <w:r>
        <w:t>We will</w:t>
      </w:r>
      <w:r w:rsidR="009B774B" w:rsidRPr="009B774B">
        <w:rPr>
          <w:rFonts w:eastAsiaTheme="minorHAnsi" w:cstheme="minorBidi"/>
        </w:rPr>
        <w:t xml:space="preserve"> </w:t>
      </w:r>
      <w:r w:rsidR="009B774B" w:rsidRPr="009B774B">
        <w:t xml:space="preserve">evaluate </w:t>
      </w:r>
      <w:r w:rsidR="00116A19">
        <w:t xml:space="preserve">relevant </w:t>
      </w:r>
      <w:r w:rsidR="009B774B" w:rsidRPr="009B774B">
        <w:t>data and use best practice to inform how we continue to build diversity and inclusion into:</w:t>
      </w:r>
    </w:p>
    <w:p w14:paraId="793EEC9D" w14:textId="135642B1" w:rsidR="00DB54AE" w:rsidRPr="00933158" w:rsidRDefault="00DB54AE" w:rsidP="00933158">
      <w:pPr>
        <w:pStyle w:val="4Bulletlist"/>
      </w:pPr>
      <w:r>
        <w:t>ensur</w:t>
      </w:r>
      <w:r w:rsidR="009B774B">
        <w:t>ing</w:t>
      </w:r>
      <w:r>
        <w:t xml:space="preserve"> that Assembly Members and their staff have the support, advice, information and training that they require to function as inclusive employers, colleagues, elected repres</w:t>
      </w:r>
      <w:r w:rsidR="00317540">
        <w:t>entatives and service providers; and</w:t>
      </w:r>
    </w:p>
    <w:p w14:paraId="13A99DB5" w14:textId="76EEF90D" w:rsidR="002A2316" w:rsidRDefault="00DB54AE" w:rsidP="00DB54AE">
      <w:pPr>
        <w:pStyle w:val="4Bulletlist"/>
      </w:pPr>
      <w:r>
        <w:t>promot</w:t>
      </w:r>
      <w:r w:rsidR="009B774B">
        <w:t>ing</w:t>
      </w:r>
      <w:r>
        <w:t xml:space="preserve"> our workplace equality networks to Members and their staff to further embed our commitment to being an inclusive organisation</w:t>
      </w:r>
      <w:r w:rsidR="00317540">
        <w:t>.</w:t>
      </w:r>
    </w:p>
    <w:p w14:paraId="48D55737" w14:textId="77777777" w:rsidR="002A2316" w:rsidRDefault="002A2316">
      <w:pPr>
        <w:spacing w:before="0" w:after="160" w:line="259" w:lineRule="auto"/>
        <w:rPr>
          <w:rFonts w:eastAsia="Lucida Sans" w:cs="Times New Roman"/>
          <w:color w:val="414042"/>
          <w:kern w:val="24"/>
        </w:rPr>
      </w:pPr>
      <w:r>
        <w:br w:type="page"/>
      </w:r>
    </w:p>
    <w:p w14:paraId="41648F22" w14:textId="221877BA" w:rsidR="006114D6" w:rsidRDefault="006114D6" w:rsidP="00382E75">
      <w:pPr>
        <w:pStyle w:val="1Numbered-Heading"/>
      </w:pPr>
      <w:bookmarkStart w:id="4" w:name="_Toc506543687"/>
      <w:r w:rsidRPr="006114D6">
        <w:lastRenderedPageBreak/>
        <w:t>Embedding E</w:t>
      </w:r>
      <w:r>
        <w:t>quality into our W</w:t>
      </w:r>
      <w:r w:rsidRPr="006114D6">
        <w:t>ork</w:t>
      </w:r>
      <w:bookmarkEnd w:id="4"/>
    </w:p>
    <w:p w14:paraId="1EF8B24D" w14:textId="277E543D" w:rsidR="006114D6" w:rsidRPr="0018409C" w:rsidRDefault="00EB424A" w:rsidP="006114D6">
      <w:pPr>
        <w:pStyle w:val="2Sub-headings"/>
      </w:pPr>
      <w:r>
        <w:t>New diversity and i</w:t>
      </w:r>
      <w:r w:rsidR="006114D6">
        <w:t>ncl</w:t>
      </w:r>
      <w:r>
        <w:t>usion s</w:t>
      </w:r>
      <w:r w:rsidR="006114D6" w:rsidRPr="0018409C">
        <w:t xml:space="preserve">trategy for </w:t>
      </w:r>
      <w:r>
        <w:t xml:space="preserve">the </w:t>
      </w:r>
      <w:r w:rsidR="006114D6" w:rsidRPr="0018409C">
        <w:t>Fifth Assembly</w:t>
      </w:r>
    </w:p>
    <w:p w14:paraId="45DCEA12" w14:textId="77777777" w:rsidR="006114D6" w:rsidRPr="006F1F00" w:rsidRDefault="006114D6" w:rsidP="006114D6">
      <w:pPr>
        <w:pStyle w:val="3Copy-text"/>
        <w:rPr>
          <w:rFonts w:eastAsia="Lucida Sans Unicode,Calibri" w:cs="Lucida Sans Unicode"/>
        </w:rPr>
      </w:pPr>
      <w:r w:rsidRPr="006F1F00">
        <w:rPr>
          <w:rFonts w:eastAsia="Lucida Sans Unicode,Calibri" w:cs="Lucida Sans Unicode"/>
        </w:rPr>
        <w:t>Th</w:t>
      </w:r>
      <w:r>
        <w:rPr>
          <w:rFonts w:eastAsia="Lucida Sans Unicode,Calibri" w:cs="Lucida Sans Unicode"/>
        </w:rPr>
        <w:t>e Assembly Commission agreed our new</w:t>
      </w:r>
      <w:r w:rsidRPr="006F1F00">
        <w:rPr>
          <w:rFonts w:eastAsia="Lucida Sans Unicode,Calibri" w:cs="Lucida Sans Unicode"/>
        </w:rPr>
        <w:t xml:space="preserve"> Diversity and Inclusion Strategy for the Fifth Assembly in December 2016. The Strategy sets out </w:t>
      </w:r>
      <w:r>
        <w:rPr>
          <w:rFonts w:eastAsia="Lucida Sans Unicode,Calibri" w:cs="Lucida Sans Unicode"/>
        </w:rPr>
        <w:t>our approach for delivering our</w:t>
      </w:r>
      <w:r w:rsidRPr="006F1F00">
        <w:rPr>
          <w:rFonts w:eastAsia="Lucida Sans Unicode,Calibri" w:cs="Lucida Sans Unicode"/>
        </w:rPr>
        <w:t xml:space="preserve"> diversity and inclusion objectives over the course of the Fifth Assembly and is accompanied by an action plan for delivery. The Strategy builds on progress from </w:t>
      </w:r>
      <w:r>
        <w:rPr>
          <w:rFonts w:eastAsia="Lucida Sans Unicode,Calibri" w:cs="Lucida Sans Unicode"/>
        </w:rPr>
        <w:t xml:space="preserve">our </w:t>
      </w:r>
      <w:r w:rsidRPr="006F1F00">
        <w:rPr>
          <w:rFonts w:eastAsia="Lucida Sans Unicode,Calibri" w:cs="Lucida Sans Unicode"/>
        </w:rPr>
        <w:t>previous Equality Plan</w:t>
      </w:r>
      <w:r>
        <w:rPr>
          <w:rFonts w:eastAsia="Lucida Sans Unicode,Calibri" w:cs="Lucida Sans Unicode"/>
        </w:rPr>
        <w:t>,</w:t>
      </w:r>
      <w:r w:rsidRPr="006F1F00">
        <w:rPr>
          <w:rFonts w:eastAsia="Lucida Sans Unicode,Calibri" w:cs="Lucida Sans Unicode"/>
        </w:rPr>
        <w:t xml:space="preserve"> further integrating diversity and inclusion into the day-to-day running of the Assembly and</w:t>
      </w:r>
      <w:r>
        <w:rPr>
          <w:rFonts w:eastAsia="Lucida Sans Unicode,Calibri" w:cs="Lucida Sans Unicode"/>
        </w:rPr>
        <w:t xml:space="preserve"> sets out how we intend to meet our statutory obligations in relation to equality.</w:t>
      </w:r>
    </w:p>
    <w:p w14:paraId="470C93EC" w14:textId="633FD82F" w:rsidR="006114D6" w:rsidRDefault="00EB424A" w:rsidP="00CC69A9">
      <w:pPr>
        <w:pStyle w:val="2Sub-headings"/>
      </w:pPr>
      <w:r>
        <w:t>Building diversity and i</w:t>
      </w:r>
      <w:r w:rsidR="006114D6" w:rsidRPr="00612DA0">
        <w:t>nclusion</w:t>
      </w:r>
      <w:r>
        <w:t xml:space="preserve"> and</w:t>
      </w:r>
      <w:r w:rsidR="006114D6" w:rsidRPr="00612DA0">
        <w:t xml:space="preserve"> </w:t>
      </w:r>
      <w:r>
        <w:t>equality</w:t>
      </w:r>
      <w:r w:rsidRPr="00612DA0">
        <w:t xml:space="preserve"> </w:t>
      </w:r>
      <w:r w:rsidR="006114D6" w:rsidRPr="00612DA0">
        <w:t>into our work</w:t>
      </w:r>
    </w:p>
    <w:p w14:paraId="4893A757" w14:textId="77777777" w:rsidR="006114D6" w:rsidRPr="00612DA0" w:rsidRDefault="006114D6" w:rsidP="006114D6">
      <w:pPr>
        <w:pStyle w:val="3Copy-text"/>
      </w:pPr>
      <w:r w:rsidRPr="00612DA0">
        <w:t xml:space="preserve">There has </w:t>
      </w:r>
      <w:r>
        <w:t xml:space="preserve">an increase in </w:t>
      </w:r>
      <w:r w:rsidRPr="00612DA0">
        <w:t>the number of equality impact assessments undertaken over the reporting period. Over this reporting period, assessments that have been initiated include:</w:t>
      </w:r>
    </w:p>
    <w:p w14:paraId="63878FF1" w14:textId="58161D0D" w:rsidR="006114D6" w:rsidRPr="00612DA0" w:rsidRDefault="00EC7914" w:rsidP="005F7C12">
      <w:pPr>
        <w:pStyle w:val="4Bulletlist"/>
      </w:pPr>
      <w:r>
        <w:t>s</w:t>
      </w:r>
      <w:r w:rsidR="006114D6" w:rsidRPr="00612DA0">
        <w:t>everal accommodation refurbishment projects on the estate;</w:t>
      </w:r>
    </w:p>
    <w:p w14:paraId="62A9FA7F" w14:textId="410EECCE" w:rsidR="006114D6" w:rsidRPr="00612DA0" w:rsidRDefault="00EC7914" w:rsidP="005F7C12">
      <w:pPr>
        <w:pStyle w:val="4Bulletlist"/>
      </w:pPr>
      <w:r>
        <w:t>My</w:t>
      </w:r>
      <w:r w:rsidR="006114D6" w:rsidRPr="00612DA0">
        <w:t>Senedd programme;</w:t>
      </w:r>
    </w:p>
    <w:p w14:paraId="2DFBD432" w14:textId="77777777" w:rsidR="006114D6" w:rsidRPr="00612DA0" w:rsidRDefault="006114D6" w:rsidP="005F7C12">
      <w:pPr>
        <w:pStyle w:val="4Bulletlist"/>
      </w:pPr>
      <w:r w:rsidRPr="00612DA0">
        <w:t>Staff Mental Health Policy;</w:t>
      </w:r>
    </w:p>
    <w:p w14:paraId="310857E2" w14:textId="23464E4A" w:rsidR="006114D6" w:rsidRPr="00612DA0" w:rsidRDefault="00EC7914" w:rsidP="005F7C12">
      <w:pPr>
        <w:pStyle w:val="4Bulletlist"/>
      </w:pPr>
      <w:r>
        <w:t>p</w:t>
      </w:r>
      <w:r w:rsidR="006114D6" w:rsidRPr="00612DA0">
        <w:t>otential name change of the Assembly</w:t>
      </w:r>
      <w:r w:rsidR="006114D6">
        <w:t>;</w:t>
      </w:r>
      <w:r w:rsidR="006114D6" w:rsidRPr="00612DA0">
        <w:t xml:space="preserve"> </w:t>
      </w:r>
    </w:p>
    <w:p w14:paraId="28204B26" w14:textId="77777777" w:rsidR="006114D6" w:rsidRPr="00612DA0" w:rsidRDefault="006114D6" w:rsidP="005F7C12">
      <w:pPr>
        <w:pStyle w:val="4Bulletlist"/>
      </w:pPr>
      <w:r w:rsidRPr="00612DA0">
        <w:t>Youth Parliament project</w:t>
      </w:r>
      <w:r>
        <w:t>;</w:t>
      </w:r>
    </w:p>
    <w:p w14:paraId="79EFC6AB" w14:textId="77777777" w:rsidR="006114D6" w:rsidRPr="00612DA0" w:rsidRDefault="006114D6" w:rsidP="005F7C12">
      <w:pPr>
        <w:pStyle w:val="4Bulletlist"/>
      </w:pPr>
      <w:r w:rsidRPr="00612DA0">
        <w:t>Public Engagement Strategy;</w:t>
      </w:r>
    </w:p>
    <w:p w14:paraId="7EA59477" w14:textId="77777777" w:rsidR="006114D6" w:rsidRPr="00612DA0" w:rsidRDefault="006114D6" w:rsidP="005F7C12">
      <w:pPr>
        <w:pStyle w:val="4Bulletlist"/>
      </w:pPr>
      <w:r w:rsidRPr="00612DA0">
        <w:t>Diversity and Inclusion Strategy;</w:t>
      </w:r>
    </w:p>
    <w:p w14:paraId="313D8D4C" w14:textId="77777777" w:rsidR="006114D6" w:rsidRPr="00612DA0" w:rsidRDefault="006114D6" w:rsidP="005F7C12">
      <w:pPr>
        <w:pStyle w:val="4Bulletlist"/>
      </w:pPr>
      <w:r w:rsidRPr="00612DA0">
        <w:t>Official Languages Scheme;</w:t>
      </w:r>
    </w:p>
    <w:p w14:paraId="21625E06" w14:textId="77777777" w:rsidR="006114D6" w:rsidRPr="00612DA0" w:rsidRDefault="006114D6" w:rsidP="005F7C12">
      <w:pPr>
        <w:pStyle w:val="4Bulletlist"/>
      </w:pPr>
      <w:r w:rsidRPr="00612DA0">
        <w:t xml:space="preserve">Legislative Software System; and </w:t>
      </w:r>
    </w:p>
    <w:p w14:paraId="0C629781" w14:textId="77777777" w:rsidR="002E4FB6" w:rsidRDefault="00EC7914" w:rsidP="002E4FB6">
      <w:pPr>
        <w:pStyle w:val="4Bulletlist"/>
      </w:pPr>
      <w:r>
        <w:t>a</w:t>
      </w:r>
      <w:r w:rsidR="006114D6" w:rsidRPr="00612DA0">
        <w:t>spects of business continuity project.</w:t>
      </w:r>
    </w:p>
    <w:p w14:paraId="14A5A8C3" w14:textId="60668E03" w:rsidR="002A2316" w:rsidRDefault="002E4FB6" w:rsidP="002E4FB6">
      <w:pPr>
        <w:pStyle w:val="4Bulletlist"/>
      </w:pPr>
      <w:r>
        <w:t>CASE STUDY: Designing the Official Languages Scheme</w:t>
      </w:r>
    </w:p>
    <w:p w14:paraId="2E99E157" w14:textId="4240EF47" w:rsidR="002E4FB6" w:rsidRPr="002A2316" w:rsidRDefault="002A2316" w:rsidP="002A2316">
      <w:pPr>
        <w:spacing w:before="0" w:after="160" w:line="259" w:lineRule="auto"/>
        <w:rPr>
          <w:rFonts w:eastAsia="Lucida Sans" w:cs="Times New Roman"/>
          <w:color w:val="414042"/>
          <w:kern w:val="24"/>
        </w:rPr>
      </w:pPr>
      <w:r>
        <w:br w:type="page"/>
      </w:r>
    </w:p>
    <w:p w14:paraId="4A71CA7C" w14:textId="7D5A9E79" w:rsidR="002E4FB6" w:rsidRPr="00612DA0" w:rsidRDefault="00D8262A" w:rsidP="00D40488">
      <w:pPr>
        <w:pStyle w:val="4Bulletlist"/>
        <w:numPr>
          <w:ilvl w:val="0"/>
          <w:numId w:val="0"/>
        </w:numPr>
      </w:pPr>
      <w:r>
        <w:rPr>
          <w:lang w:val="cy-GB"/>
        </w:rPr>
        <w:lastRenderedPageBreak/>
        <w:t>E</w:t>
      </w:r>
      <w:r w:rsidRPr="00D8262A">
        <w:rPr>
          <w:lang w:val="cy-GB"/>
        </w:rPr>
        <w:t xml:space="preserve">manating from the statutory duty under the Official Languages Act (2012) to publish and adopt an Official Language Scheme [OLS], </w:t>
      </w:r>
      <w:r w:rsidR="008963F2">
        <w:rPr>
          <w:lang w:val="cy-GB"/>
        </w:rPr>
        <w:t xml:space="preserve">we have developed a new </w:t>
      </w:r>
      <w:r w:rsidRPr="0029729E">
        <w:rPr>
          <w:lang w:val="cy-GB"/>
        </w:rPr>
        <w:t xml:space="preserve"> Scheme, which builds on the</w:t>
      </w:r>
      <w:r w:rsidRPr="00A35D67">
        <w:rPr>
          <w:lang w:val="cy-GB"/>
        </w:rPr>
        <w:t xml:space="preserve"> Assembly’s bilingual culture that has evolved since its inception. Part of this development work</w:t>
      </w:r>
      <w:r w:rsidRPr="009B774B">
        <w:rPr>
          <w:lang w:val="cy-GB"/>
        </w:rPr>
        <w:t xml:space="preserve"> involved undertakin</w:t>
      </w:r>
      <w:r w:rsidR="008963F2">
        <w:rPr>
          <w:lang w:val="cy-GB"/>
        </w:rPr>
        <w:t xml:space="preserve">g an equality </w:t>
      </w:r>
      <w:hyperlink r:id="rId27" w:history="1">
        <w:r w:rsidR="008963F2" w:rsidRPr="008963F2">
          <w:rPr>
            <w:rStyle w:val="Hyperlink"/>
            <w:rFonts w:ascii="Montserrat Light" w:hAnsi="Montserrat Light"/>
            <w:lang w:val="cy-GB"/>
          </w:rPr>
          <w:t>impact assessment</w:t>
        </w:r>
      </w:hyperlink>
      <w:r w:rsidR="008963F2">
        <w:rPr>
          <w:lang w:val="cy-GB"/>
        </w:rPr>
        <w:t xml:space="preserve"> </w:t>
      </w:r>
      <w:r w:rsidRPr="00D8262A">
        <w:rPr>
          <w:lang w:val="cy-GB"/>
        </w:rPr>
        <w:t>to ensure that diversity and inclusion considerations were taken into account.</w:t>
      </w:r>
    </w:p>
    <w:p w14:paraId="6EB89BCF" w14:textId="77777777" w:rsidR="006114D6" w:rsidRDefault="006114D6" w:rsidP="00CC69A9">
      <w:pPr>
        <w:pStyle w:val="2Sub-headings"/>
      </w:pPr>
      <w:r w:rsidRPr="00612DA0">
        <w:t>Procurement</w:t>
      </w:r>
    </w:p>
    <w:p w14:paraId="3B3E41BF" w14:textId="70328CE1" w:rsidR="006114D6" w:rsidRPr="00CC69A9" w:rsidRDefault="006114D6" w:rsidP="00CC69A9">
      <w:pPr>
        <w:pStyle w:val="3Copy-text"/>
      </w:pPr>
      <w:r w:rsidRPr="00CC69A9">
        <w:t>We take every opportunity to champion equality throughout</w:t>
      </w:r>
      <w:r w:rsidR="00EC7914">
        <w:t xml:space="preserve"> our procurement process and on</w:t>
      </w:r>
      <w:r w:rsidRPr="00CC69A9">
        <w:t xml:space="preserve">going contract management. </w:t>
      </w:r>
    </w:p>
    <w:p w14:paraId="5E6D0571" w14:textId="187E9114" w:rsidR="006114D6" w:rsidRPr="00CC69A9" w:rsidRDefault="006114D6" w:rsidP="00CC69A9">
      <w:pPr>
        <w:pStyle w:val="3Copy-text"/>
      </w:pPr>
      <w:r w:rsidRPr="00CC69A9">
        <w:t>Equality is included as part of our equality risk assessments at the very start of the procurement process and as part of the pre-qualification exercise. Suppliers who fail to demonstrate their commitment to equality are not invited to tender. Once contracts are awarded we conduct regular contract review meetings with our suppliers. One of the standard agenda items is corporate social responsibility. We also have equality clauses in our terms and conditions.</w:t>
      </w:r>
    </w:p>
    <w:p w14:paraId="17769DB7" w14:textId="77777777" w:rsidR="006114D6" w:rsidRPr="00CC69A9" w:rsidRDefault="006114D6" w:rsidP="00CC69A9">
      <w:pPr>
        <w:pStyle w:val="3Copy-text"/>
      </w:pPr>
      <w:r w:rsidRPr="00CC69A9">
        <w:t xml:space="preserve">We are an accredited living wage employer and ensure that the living wage is paid to contractors working in our buildings.  </w:t>
      </w:r>
    </w:p>
    <w:p w14:paraId="0EB3CD51" w14:textId="15EFB96E" w:rsidR="006114D6" w:rsidRPr="00612DA0" w:rsidRDefault="00EB424A" w:rsidP="00CC69A9">
      <w:pPr>
        <w:pStyle w:val="2Sub-headings"/>
      </w:pPr>
      <w:r>
        <w:t>Monitoring and r</w:t>
      </w:r>
      <w:r w:rsidR="006114D6" w:rsidRPr="00612DA0">
        <w:t>eporting</w:t>
      </w:r>
    </w:p>
    <w:p w14:paraId="22D85765" w14:textId="77777777" w:rsidR="006114D6" w:rsidRPr="00506810" w:rsidRDefault="006114D6" w:rsidP="006114D6">
      <w:pPr>
        <w:pStyle w:val="3Copy-text"/>
      </w:pPr>
      <w:r>
        <w:t xml:space="preserve">Our Annual Diversity and Inclusion Reports are scrutinised by the Commission’s Management Board and the Assembly Commission to ensure compliance with our legal and corporate responsibilities and to monitor progress. </w:t>
      </w:r>
    </w:p>
    <w:p w14:paraId="609D95A8" w14:textId="77777777" w:rsidR="006114D6" w:rsidRDefault="006114D6" w:rsidP="00CC69A9">
      <w:pPr>
        <w:pStyle w:val="2Sub-headings"/>
      </w:pPr>
      <w:r w:rsidRPr="0045405D">
        <w:t>Going forward:</w:t>
      </w:r>
    </w:p>
    <w:p w14:paraId="09D51826" w14:textId="29B86232" w:rsidR="00523398" w:rsidRDefault="00523398" w:rsidP="00523398">
      <w:pPr>
        <w:pStyle w:val="4Bulletlist"/>
        <w:numPr>
          <w:ilvl w:val="0"/>
          <w:numId w:val="0"/>
        </w:numPr>
      </w:pPr>
      <w:r>
        <w:t>We will</w:t>
      </w:r>
      <w:r w:rsidR="009B774B" w:rsidRPr="009B774B">
        <w:rPr>
          <w:rFonts w:eastAsiaTheme="minorHAnsi" w:cstheme="minorBidi"/>
        </w:rPr>
        <w:t xml:space="preserve"> </w:t>
      </w:r>
      <w:r w:rsidR="009B774B" w:rsidRPr="009B774B">
        <w:t xml:space="preserve">evaluate </w:t>
      </w:r>
      <w:r w:rsidR="00116A19">
        <w:t xml:space="preserve">relevant </w:t>
      </w:r>
      <w:r w:rsidR="009B774B" w:rsidRPr="009B774B">
        <w:t>data and use best practice to inform how we continue to build diversity and inclusion into</w:t>
      </w:r>
      <w:r>
        <w:t>:</w:t>
      </w:r>
    </w:p>
    <w:p w14:paraId="18833150" w14:textId="79D55CB7" w:rsidR="006114D6" w:rsidRPr="0045405D" w:rsidRDefault="006114D6" w:rsidP="00EC7914">
      <w:pPr>
        <w:pStyle w:val="4Bulletlist"/>
      </w:pPr>
      <w:r>
        <w:t>includ</w:t>
      </w:r>
      <w:r w:rsidR="009B774B">
        <w:t>ing</w:t>
      </w:r>
      <w:r>
        <w:t xml:space="preserve"> diversity and inclusion in our service plans</w:t>
      </w:r>
      <w:r w:rsidR="00523398">
        <w:t>;</w:t>
      </w:r>
    </w:p>
    <w:p w14:paraId="7C079763" w14:textId="46E88A6F" w:rsidR="006114D6" w:rsidRDefault="006114D6" w:rsidP="00EC7914">
      <w:pPr>
        <w:pStyle w:val="4Bulletlist"/>
      </w:pPr>
      <w:r w:rsidRPr="00AB3C2E">
        <w:t>ensur</w:t>
      </w:r>
      <w:r w:rsidR="009B774B">
        <w:t>ing</w:t>
      </w:r>
      <w:r w:rsidRPr="00AB3C2E">
        <w:t xml:space="preserve"> that </w:t>
      </w:r>
      <w:r>
        <w:t>e</w:t>
      </w:r>
      <w:r w:rsidRPr="00AB3C2E">
        <w:t xml:space="preserve">quality </w:t>
      </w:r>
      <w:r>
        <w:t>i</w:t>
      </w:r>
      <w:r w:rsidRPr="00AB3C2E">
        <w:t xml:space="preserve">mpact </w:t>
      </w:r>
      <w:r>
        <w:t>a</w:t>
      </w:r>
      <w:r w:rsidRPr="00AB3C2E">
        <w:t xml:space="preserve">ssessments </w:t>
      </w:r>
      <w:r>
        <w:t xml:space="preserve">(EQIAs) </w:t>
      </w:r>
      <w:r w:rsidRPr="00AB3C2E">
        <w:t>are undertaken</w:t>
      </w:r>
      <w:r>
        <w:t xml:space="preserve"> across the organisation and that staff have the confidence to</w:t>
      </w:r>
      <w:r w:rsidRPr="00AB3C2E">
        <w:t xml:space="preserve"> </w:t>
      </w:r>
      <w:r w:rsidR="00523398">
        <w:t>undertake them;</w:t>
      </w:r>
      <w:r w:rsidR="009B774B">
        <w:t xml:space="preserve"> and</w:t>
      </w:r>
    </w:p>
    <w:p w14:paraId="383FB494" w14:textId="5B17E25D" w:rsidR="006114D6" w:rsidRPr="00AB3C2E" w:rsidRDefault="006114D6" w:rsidP="00EC7914">
      <w:pPr>
        <w:pStyle w:val="4Bulletlist"/>
      </w:pPr>
      <w:r>
        <w:t>ensur</w:t>
      </w:r>
      <w:r w:rsidR="009B774B">
        <w:t>ing</w:t>
      </w:r>
      <w:r>
        <w:t xml:space="preserve"> that contract man</w:t>
      </w:r>
      <w:r w:rsidR="00523398">
        <w:t>a</w:t>
      </w:r>
      <w:r>
        <w:t xml:space="preserve">gers have the support necessary to build </w:t>
      </w:r>
      <w:r w:rsidR="00A76895">
        <w:t xml:space="preserve">diversity and inclusion </w:t>
      </w:r>
      <w:r>
        <w:t xml:space="preserve"> into their review meetings.</w:t>
      </w:r>
    </w:p>
    <w:p w14:paraId="7B2160AB" w14:textId="77777777" w:rsidR="006114D6" w:rsidRPr="006114D6" w:rsidRDefault="006114D6" w:rsidP="006114D6">
      <w:pPr>
        <w:pStyle w:val="3Copy-text"/>
        <w:rPr>
          <w:lang w:eastAsia="en-GB"/>
        </w:rPr>
      </w:pPr>
    </w:p>
    <w:p w14:paraId="09F30533" w14:textId="77777777" w:rsidR="006D6CCF" w:rsidRDefault="006D6CCF" w:rsidP="00545E12">
      <w:pPr>
        <w:pStyle w:val="1Mainheadings"/>
        <w:sectPr w:rsidR="006D6CCF" w:rsidSect="00290A96">
          <w:headerReference w:type="default" r:id="rId28"/>
          <w:footerReference w:type="even" r:id="rId29"/>
          <w:footerReference w:type="default" r:id="rId30"/>
          <w:pgSz w:w="11906" w:h="16838" w:code="9"/>
          <w:pgMar w:top="1418" w:right="1134" w:bottom="993" w:left="1134" w:header="567" w:footer="567" w:gutter="0"/>
          <w:pgNumType w:start="1"/>
          <w:cols w:space="708"/>
          <w:docGrid w:linePitch="360"/>
        </w:sectPr>
      </w:pPr>
    </w:p>
    <w:p w14:paraId="2CC17CF8" w14:textId="75676FDB" w:rsidR="00775301" w:rsidRDefault="00A03923" w:rsidP="00545E12">
      <w:pPr>
        <w:pStyle w:val="1Mainheadings"/>
      </w:pPr>
      <w:bookmarkStart w:id="5" w:name="_Toc506543688"/>
      <w:r w:rsidRPr="00A03923">
        <w:rPr>
          <w:b/>
        </w:rPr>
        <w:lastRenderedPageBreak/>
        <w:t>Annex A:</w:t>
      </w:r>
      <w:r>
        <w:t xml:space="preserve"> </w:t>
      </w:r>
      <w:r w:rsidR="00545E12" w:rsidRPr="00545E12">
        <w:t>Workforce and Recruitment Monitoring Data</w:t>
      </w:r>
      <w:bookmarkEnd w:id="5"/>
    </w:p>
    <w:p w14:paraId="7467A09A" w14:textId="77777777" w:rsidR="00545E12" w:rsidRDefault="00545E12" w:rsidP="00AC33F3">
      <w:pPr>
        <w:pStyle w:val="2Sub-headings"/>
        <w:rPr>
          <w:lang w:eastAsia="en-GB"/>
        </w:rPr>
      </w:pPr>
      <w:r>
        <w:rPr>
          <w:lang w:eastAsia="en-GB"/>
        </w:rPr>
        <w:t>Overview</w:t>
      </w:r>
    </w:p>
    <w:p w14:paraId="46893951" w14:textId="77777777" w:rsidR="00545E12" w:rsidRPr="00AC33F3" w:rsidRDefault="00545E12" w:rsidP="00AC33F3">
      <w:pPr>
        <w:pStyle w:val="3Copy-text"/>
      </w:pPr>
      <w:r w:rsidRPr="00AC33F3">
        <w:t xml:space="preserve">Our workforce exists to support the efficient running of the National Assembly for Wales by providing services to Assembly Members, their staff and the public. Each year, we collect, analyse and publish diversity data on our workforce profile and recruitment activity. </w:t>
      </w:r>
    </w:p>
    <w:p w14:paraId="1968BE8E" w14:textId="77777777" w:rsidR="00545E12" w:rsidRPr="00AC33F3" w:rsidRDefault="00545E12" w:rsidP="00AC33F3">
      <w:pPr>
        <w:pStyle w:val="3Copy-text"/>
      </w:pPr>
      <w:r w:rsidRPr="00AC33F3">
        <w:t>This report sets out an analysis of the National Assembly for Wales Commission’s diversity profile of its workforce coupled with an analysis of diversity data for recruitment.</w:t>
      </w:r>
    </w:p>
    <w:p w14:paraId="6263172A" w14:textId="77777777" w:rsidR="00545E12" w:rsidRPr="00AC33F3" w:rsidRDefault="00545E12" w:rsidP="00AC33F3">
      <w:pPr>
        <w:pStyle w:val="3Copy-text"/>
      </w:pPr>
      <w:r w:rsidRPr="00AC33F3">
        <w:t>From this information, we are able to examine the diversity profile of our workforce, the people we attract to apply for jobs and to whom we offer employment. We use the analyses of these monitoring exercises to help us ensure the diverse needs of staff and members of the public are met through improving policies, services and working practices. An equal pay audit report is also available at Annex B.</w:t>
      </w:r>
    </w:p>
    <w:p w14:paraId="0E7C8E56" w14:textId="77777777" w:rsidR="00545E12" w:rsidRPr="00AC33F3" w:rsidRDefault="00545E12" w:rsidP="00AC33F3">
      <w:pPr>
        <w:pStyle w:val="3Copy-text"/>
      </w:pPr>
      <w:r w:rsidRPr="00AC33F3">
        <w:t xml:space="preserve">The preparation and publication of this report meets the public sector duties set out in the Equality Act 2010. The report contains analyses of data which accords with the protected characteristics as defined by the Act. The data presented in this report is as of 31 March 2017. </w:t>
      </w:r>
    </w:p>
    <w:p w14:paraId="5B6D382E" w14:textId="77777777" w:rsidR="00545E12" w:rsidRDefault="00545E12" w:rsidP="00AC33F3">
      <w:pPr>
        <w:pStyle w:val="3Copy-text"/>
      </w:pPr>
      <w:r w:rsidRPr="00AC33F3">
        <w:t>As 98% of our workforce is based in Cardiff Bay, we are using data from the 2011 Census, namely the Cardiff Travel to Work Area (TTWA) data set to compare the characteristics of our workforce and job applicants to the wider Cardiff population in terms of people of working age.</w:t>
      </w:r>
    </w:p>
    <w:p w14:paraId="4B1B288E" w14:textId="1C3B18A0" w:rsidR="00A03923" w:rsidRDefault="00A03923">
      <w:pPr>
        <w:rPr>
          <w:color w:val="414042"/>
          <w:kern w:val="24"/>
        </w:rPr>
      </w:pPr>
      <w:r>
        <w:br w:type="page"/>
      </w:r>
    </w:p>
    <w:p w14:paraId="08112CBC" w14:textId="77777777" w:rsidR="00545E12" w:rsidRDefault="00545E12" w:rsidP="00AC33F3">
      <w:pPr>
        <w:pStyle w:val="2Sub-headings"/>
        <w:rPr>
          <w:lang w:eastAsia="en-GB"/>
        </w:rPr>
      </w:pPr>
      <w:r>
        <w:rPr>
          <w:lang w:eastAsia="en-GB"/>
        </w:rPr>
        <w:lastRenderedPageBreak/>
        <w:t>Our Approach to Workforce Monitoring</w:t>
      </w:r>
    </w:p>
    <w:p w14:paraId="15EDCA9E" w14:textId="77777777" w:rsidR="00545E12" w:rsidRDefault="00545E12" w:rsidP="00AC33F3">
      <w:pPr>
        <w:pStyle w:val="3Copy-text"/>
        <w:rPr>
          <w:lang w:eastAsia="en-GB"/>
        </w:rPr>
      </w:pPr>
      <w:r>
        <w:rPr>
          <w:lang w:eastAsia="en-GB"/>
        </w:rPr>
        <w:t>Our workforce data is collated via our HR Payroll system and relates to staff directly employed by the Assembly Commission.</w:t>
      </w:r>
    </w:p>
    <w:p w14:paraId="5E82CA37" w14:textId="77777777" w:rsidR="00545E12" w:rsidRDefault="00545E12" w:rsidP="00AC33F3">
      <w:pPr>
        <w:pStyle w:val="3Copy-text"/>
        <w:rPr>
          <w:lang w:eastAsia="en-GB"/>
        </w:rPr>
      </w:pPr>
      <w:r>
        <w:rPr>
          <w:lang w:eastAsia="en-GB"/>
        </w:rPr>
        <w:t>One of our identified on-going actions is to further increase the number of staff who self-identify their diversity characteristics and update them on our HR Payroll system. We include declaration rates alongside our workforce data.</w:t>
      </w:r>
    </w:p>
    <w:p w14:paraId="10737809" w14:textId="77777777" w:rsidR="00545E12" w:rsidRDefault="00545E12" w:rsidP="00AC33F3">
      <w:pPr>
        <w:pStyle w:val="2Sub-headings"/>
        <w:rPr>
          <w:lang w:eastAsia="en-GB"/>
        </w:rPr>
      </w:pPr>
      <w:r>
        <w:rPr>
          <w:lang w:eastAsia="en-GB"/>
        </w:rPr>
        <w:t>Our Approach to Recruitment Monitoring</w:t>
      </w:r>
    </w:p>
    <w:p w14:paraId="38D0BDD9" w14:textId="77777777" w:rsidR="00545E12" w:rsidRPr="00AC33F3" w:rsidRDefault="00545E12" w:rsidP="00AC33F3">
      <w:pPr>
        <w:pStyle w:val="3Copy-text"/>
      </w:pPr>
      <w:r w:rsidRPr="00AC33F3">
        <w:t>The Assembly Commission’s recruitment policy is designed to be flexible: managers can access a series of prompt questions to assist them to determine whether they need to advertise vacancies internally, externally or both concurrently.</w:t>
      </w:r>
    </w:p>
    <w:p w14:paraId="3B0FF9BC" w14:textId="77777777" w:rsidR="00545E12" w:rsidRPr="00AC33F3" w:rsidRDefault="00545E12" w:rsidP="00AC33F3">
      <w:pPr>
        <w:pStyle w:val="3Copy-text"/>
      </w:pPr>
      <w:r w:rsidRPr="00AC33F3">
        <w:t>The recruitment data in this report is related to external recruitment schemes that closed with appointments during the reporting period of 1 April 2016 to 31 March 2017. As such, this includes schemes which were advertised in the 2015-16 reporting period but the appointment was not made until after 1 April 2016. The data also includes Assembly Commission staff who applied for vacancies which were advertised externally.</w:t>
      </w:r>
    </w:p>
    <w:p w14:paraId="6EEC7B35" w14:textId="77777777" w:rsidR="00545E12" w:rsidRPr="00AC33F3" w:rsidRDefault="00545E12" w:rsidP="00AC33F3">
      <w:pPr>
        <w:pStyle w:val="3Copy-text"/>
      </w:pPr>
      <w:r w:rsidRPr="00AC33F3">
        <w:t xml:space="preserve">During this reporting period, we have encouraged all applicants to submit their diversity monitoring data in order to complete the application process. Our Recruitment Team has proactively contacted applicants to complete the forms (with a choice including ‘prefer not to say’) if they have not already done so. This has resulted in the number of “no replies” to fields within the monitoring form being significantly reduced from the last reporting year; this applies across the protected characteristics. </w:t>
      </w:r>
    </w:p>
    <w:p w14:paraId="013F9F43" w14:textId="77777777" w:rsidR="00545E12" w:rsidRDefault="00545E12" w:rsidP="00AC33F3">
      <w:pPr>
        <w:pStyle w:val="3Copy-text"/>
      </w:pPr>
      <w:r w:rsidRPr="00AC33F3">
        <w:t>Our recruitment data is captured manually. We have also started to collate data for internal promotions; this pilot was initiated in-year therefore we only have partial data internal promotions for this reporting period. We will be able to publish a full data set for this in next year’s report.</w:t>
      </w:r>
    </w:p>
    <w:p w14:paraId="62860050" w14:textId="77777777" w:rsidR="006D6CCF" w:rsidRPr="00AC33F3" w:rsidRDefault="006D6CCF" w:rsidP="00AC33F3">
      <w:pPr>
        <w:pStyle w:val="3Copy-text"/>
      </w:pPr>
    </w:p>
    <w:p w14:paraId="00CD7C53" w14:textId="77777777" w:rsidR="00545E12" w:rsidRPr="00AC33F3" w:rsidRDefault="00545E12" w:rsidP="00AC33F3">
      <w:pPr>
        <w:pStyle w:val="3Copy-text"/>
      </w:pPr>
      <w:r w:rsidRPr="00AC33F3">
        <w:t>To ensure that our recruitment process is as inclusive as possible, we have:</w:t>
      </w:r>
    </w:p>
    <w:p w14:paraId="66272B5B" w14:textId="35DD6384" w:rsidR="00545E12" w:rsidRDefault="00545E12" w:rsidP="00AC33F3">
      <w:pPr>
        <w:pStyle w:val="4Bulletlist"/>
        <w:rPr>
          <w:lang w:eastAsia="en-GB"/>
        </w:rPr>
      </w:pPr>
      <w:r>
        <w:rPr>
          <w:lang w:eastAsia="en-GB"/>
        </w:rPr>
        <w:lastRenderedPageBreak/>
        <w:t>gender-balanced panels;</w:t>
      </w:r>
    </w:p>
    <w:p w14:paraId="07B73809" w14:textId="66DB60AB" w:rsidR="00545E12" w:rsidRDefault="00545E12" w:rsidP="00AC33F3">
      <w:pPr>
        <w:pStyle w:val="4Bulletlist"/>
        <w:rPr>
          <w:lang w:eastAsia="en-GB"/>
        </w:rPr>
      </w:pPr>
      <w:r>
        <w:rPr>
          <w:lang w:eastAsia="en-GB"/>
        </w:rPr>
        <w:t xml:space="preserve">recruitment training for panel members; and </w:t>
      </w:r>
    </w:p>
    <w:p w14:paraId="1AED60B4" w14:textId="0046D7AA" w:rsidR="00AC33F3" w:rsidRDefault="00545E12" w:rsidP="00AC33F3">
      <w:pPr>
        <w:pStyle w:val="4Bulletlist"/>
        <w:rPr>
          <w:lang w:eastAsia="en-GB"/>
        </w:rPr>
      </w:pPr>
      <w:r>
        <w:rPr>
          <w:lang w:eastAsia="en-GB"/>
        </w:rPr>
        <w:t>mandatory diversity training which includes recruitment and unconscious bias elements.</w:t>
      </w:r>
    </w:p>
    <w:p w14:paraId="604053BE" w14:textId="00895354" w:rsidR="00545E12" w:rsidRPr="006D6CCF" w:rsidRDefault="00545E12" w:rsidP="006D6CCF">
      <w:pPr>
        <w:pStyle w:val="2Sub-headings"/>
        <w:rPr>
          <w:rFonts w:eastAsia="Lucida Sans" w:cs="Times New Roman"/>
          <w:color w:val="414042"/>
          <w:kern w:val="24"/>
          <w:lang w:eastAsia="en-GB"/>
        </w:rPr>
      </w:pPr>
      <w:r>
        <w:rPr>
          <w:lang w:eastAsia="en-GB"/>
        </w:rPr>
        <w:t>Privacy</w:t>
      </w:r>
    </w:p>
    <w:p w14:paraId="1ED98062" w14:textId="77777777" w:rsidR="00545E12" w:rsidRPr="00AC33F3" w:rsidRDefault="00545E12" w:rsidP="00AC33F3">
      <w:pPr>
        <w:pStyle w:val="3Copy-text"/>
      </w:pPr>
      <w:r w:rsidRPr="00AC33F3">
        <w:t xml:space="preserve">Raw data is only seen by a small number of key staff in the HR Team and is held securely on a confidential basis and in line with data protection legislation.  </w:t>
      </w:r>
    </w:p>
    <w:p w14:paraId="2F4E6F7F" w14:textId="5840BAB5" w:rsidR="006D6CCF" w:rsidRDefault="00545E12" w:rsidP="00AC33F3">
      <w:pPr>
        <w:pStyle w:val="3Copy-text"/>
      </w:pPr>
      <w:r w:rsidRPr="00AC33F3">
        <w:t>In terms of our workforce data and presentation, where there are small numbers of staff, we have merged certain categories within the tables in the report to ensure that individuals’ privacy is protected which is also in line with data protection legislation.</w:t>
      </w:r>
    </w:p>
    <w:p w14:paraId="464793FC" w14:textId="77777777" w:rsidR="006D6CCF" w:rsidRDefault="006D6CCF">
      <w:pPr>
        <w:spacing w:before="0" w:after="160" w:line="259" w:lineRule="auto"/>
        <w:rPr>
          <w:color w:val="414042"/>
          <w:kern w:val="24"/>
        </w:rPr>
      </w:pPr>
      <w:r>
        <w:br w:type="page"/>
      </w:r>
    </w:p>
    <w:p w14:paraId="545E60E1" w14:textId="77777777" w:rsidR="00545E12" w:rsidRDefault="00545E12" w:rsidP="00AC33F3">
      <w:pPr>
        <w:pStyle w:val="2Sub-headings"/>
        <w:rPr>
          <w:lang w:eastAsia="en-GB"/>
        </w:rPr>
      </w:pPr>
      <w:r>
        <w:rPr>
          <w:lang w:eastAsia="en-GB"/>
        </w:rPr>
        <w:lastRenderedPageBreak/>
        <w:t>Workforce Composition</w:t>
      </w:r>
    </w:p>
    <w:p w14:paraId="7C1376EF" w14:textId="43B7868F" w:rsidR="00545E12" w:rsidRDefault="00545E12" w:rsidP="00AC33F3">
      <w:pPr>
        <w:pStyle w:val="3Copy-text"/>
      </w:pPr>
      <w:r w:rsidRPr="00AC33F3">
        <w:t>Head count as of 31 March 2017: 466 staff (this includes three staff who were either seconded staff or agency staff). This compares with 446 staff in the last reporting period. Our staff structure is organised as:</w:t>
      </w:r>
    </w:p>
    <w:p w14:paraId="22FA1F40" w14:textId="13B36262" w:rsidR="00382E75" w:rsidRDefault="00382E75" w:rsidP="00382E75">
      <w:pPr>
        <w:pStyle w:val="Caption"/>
        <w:keepNext/>
      </w:pPr>
      <w:r>
        <w:t xml:space="preserve">Table </w:t>
      </w:r>
      <w:fldSimple w:instr=" SEQ Table \* ARABIC ">
        <w:r w:rsidR="00332158">
          <w:rPr>
            <w:noProof/>
          </w:rPr>
          <w:t>1</w:t>
        </w:r>
      </w:fldSimple>
      <w:r>
        <w:t xml:space="preserve">: </w:t>
      </w:r>
      <w:r w:rsidRPr="00B23D6B">
        <w:t>Workforce Composition</w:t>
      </w:r>
    </w:p>
    <w:tbl>
      <w:tblPr>
        <w:tblStyle w:val="GridTable4-Accent4"/>
        <w:tblW w:w="5000" w:type="pct"/>
        <w:tblLook w:val="04A0" w:firstRow="1" w:lastRow="0" w:firstColumn="1" w:lastColumn="0" w:noHBand="0" w:noVBand="1"/>
      </w:tblPr>
      <w:tblGrid>
        <w:gridCol w:w="5685"/>
        <w:gridCol w:w="2095"/>
        <w:gridCol w:w="7006"/>
      </w:tblGrid>
      <w:tr w:rsidR="00AC33F3" w:rsidRPr="00AC33F3" w14:paraId="33E5FFB6" w14:textId="77777777" w:rsidTr="00A0392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82" w:type="dxa"/>
            <w:hideMark/>
          </w:tcPr>
          <w:p w14:paraId="6FE116FC" w14:textId="77777777" w:rsidR="00AC33F3" w:rsidRPr="00AC33F3" w:rsidRDefault="00AC33F3" w:rsidP="00C664FF">
            <w:pPr>
              <w:spacing w:line="288" w:lineRule="auto"/>
              <w:rPr>
                <w:rFonts w:eastAsia="Calibri" w:cs="Times New Roman"/>
              </w:rPr>
            </w:pPr>
            <w:r w:rsidRPr="00AC33F3">
              <w:rPr>
                <w:rFonts w:eastAsia="Calibri" w:cs="Times New Roman"/>
              </w:rPr>
              <w:t>Grade</w:t>
            </w:r>
          </w:p>
        </w:tc>
        <w:tc>
          <w:tcPr>
            <w:tcW w:w="1984" w:type="dxa"/>
            <w:hideMark/>
          </w:tcPr>
          <w:p w14:paraId="293BBCCE" w14:textId="77777777" w:rsidR="00AC33F3" w:rsidRPr="00AC33F3" w:rsidRDefault="00AC33F3" w:rsidP="00C664FF">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AC33F3">
              <w:rPr>
                <w:rFonts w:eastAsia="Calibri" w:cs="Times New Roman"/>
              </w:rPr>
              <w:t>Number as at 31 March 2017</w:t>
            </w:r>
          </w:p>
        </w:tc>
        <w:tc>
          <w:tcPr>
            <w:tcW w:w="6634" w:type="dxa"/>
            <w:hideMark/>
          </w:tcPr>
          <w:p w14:paraId="73C6FD08" w14:textId="77777777" w:rsidR="00AC33F3" w:rsidRPr="00AC33F3" w:rsidRDefault="00AC33F3" w:rsidP="00C664FF">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AC33F3">
              <w:rPr>
                <w:rFonts w:eastAsia="Calibri" w:cs="Times New Roman"/>
              </w:rPr>
              <w:t>% at 31 March 2017</w:t>
            </w:r>
          </w:p>
        </w:tc>
      </w:tr>
      <w:tr w:rsidR="00AC33F3" w:rsidRPr="00AC33F3" w14:paraId="75E1ACB4" w14:textId="77777777" w:rsidTr="00A03923">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198FC0DC" w14:textId="77777777" w:rsidR="00AC33F3" w:rsidRPr="00AC33F3" w:rsidRDefault="00AC33F3" w:rsidP="00C664FF">
            <w:pPr>
              <w:spacing w:line="288" w:lineRule="auto"/>
              <w:rPr>
                <w:rFonts w:eastAsia="Calibri" w:cs="Times New Roman"/>
                <w:color w:val="000000"/>
              </w:rPr>
            </w:pPr>
            <w:r w:rsidRPr="00AC33F3">
              <w:rPr>
                <w:rFonts w:eastAsia="Calibri" w:cs="Times New Roman"/>
                <w:color w:val="000000"/>
              </w:rPr>
              <w:t>Senior Staff, including Chief Executive and Directors</w:t>
            </w:r>
          </w:p>
        </w:tc>
        <w:tc>
          <w:tcPr>
            <w:tcW w:w="1984" w:type="dxa"/>
            <w:vAlign w:val="center"/>
            <w:hideMark/>
          </w:tcPr>
          <w:p w14:paraId="3AE6864C"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5</w:t>
            </w:r>
          </w:p>
        </w:tc>
        <w:tc>
          <w:tcPr>
            <w:tcW w:w="6634" w:type="dxa"/>
            <w:vAlign w:val="center"/>
            <w:hideMark/>
          </w:tcPr>
          <w:p w14:paraId="38BAEB4D"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1.1</w:t>
            </w:r>
          </w:p>
        </w:tc>
      </w:tr>
      <w:tr w:rsidR="00AC33F3" w:rsidRPr="00AC33F3" w14:paraId="3FF7266B" w14:textId="77777777" w:rsidTr="00A03923">
        <w:trPr>
          <w:trHeight w:val="30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6DAB7D62" w14:textId="77777777" w:rsidR="00AC33F3" w:rsidRPr="00AC33F3" w:rsidRDefault="00AC33F3" w:rsidP="00C664FF">
            <w:pPr>
              <w:spacing w:line="288" w:lineRule="auto"/>
              <w:rPr>
                <w:rFonts w:eastAsia="Calibri" w:cs="Times New Roman"/>
                <w:color w:val="000000"/>
              </w:rPr>
            </w:pPr>
            <w:r w:rsidRPr="00AC33F3">
              <w:rPr>
                <w:rFonts w:eastAsia="Calibri" w:cs="Times New Roman"/>
                <w:color w:val="000000"/>
              </w:rPr>
              <w:t>Executive Band 1</w:t>
            </w:r>
          </w:p>
        </w:tc>
        <w:tc>
          <w:tcPr>
            <w:tcW w:w="1984" w:type="dxa"/>
            <w:vAlign w:val="center"/>
            <w:hideMark/>
          </w:tcPr>
          <w:p w14:paraId="66F60C83"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14</w:t>
            </w:r>
          </w:p>
        </w:tc>
        <w:tc>
          <w:tcPr>
            <w:tcW w:w="6634" w:type="dxa"/>
            <w:vAlign w:val="center"/>
            <w:hideMark/>
          </w:tcPr>
          <w:p w14:paraId="084AFDCC"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3.0</w:t>
            </w:r>
          </w:p>
        </w:tc>
      </w:tr>
      <w:tr w:rsidR="00AC33F3" w:rsidRPr="00AC33F3" w14:paraId="2823FDF1" w14:textId="77777777" w:rsidTr="00A039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789B044" w14:textId="77777777" w:rsidR="00AC33F3" w:rsidRPr="00AC33F3" w:rsidRDefault="00AC33F3" w:rsidP="00C664FF">
            <w:pPr>
              <w:spacing w:line="288" w:lineRule="auto"/>
              <w:rPr>
                <w:rFonts w:eastAsia="Calibri" w:cs="Times New Roman"/>
                <w:color w:val="000000"/>
              </w:rPr>
            </w:pPr>
            <w:r w:rsidRPr="00AC33F3">
              <w:rPr>
                <w:rFonts w:eastAsia="Calibri" w:cs="Times New Roman"/>
                <w:color w:val="000000"/>
              </w:rPr>
              <w:t>Executive Band 2</w:t>
            </w:r>
          </w:p>
        </w:tc>
        <w:tc>
          <w:tcPr>
            <w:tcW w:w="1984" w:type="dxa"/>
            <w:vAlign w:val="center"/>
            <w:hideMark/>
          </w:tcPr>
          <w:p w14:paraId="483BC891"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53</w:t>
            </w:r>
          </w:p>
        </w:tc>
        <w:tc>
          <w:tcPr>
            <w:tcW w:w="6634" w:type="dxa"/>
            <w:vAlign w:val="center"/>
            <w:hideMark/>
          </w:tcPr>
          <w:p w14:paraId="388A2E6E" w14:textId="77777777" w:rsidR="00AC33F3" w:rsidRPr="00AC33F3" w:rsidRDefault="00AC33F3" w:rsidP="00C664FF">
            <w:pPr>
              <w:tabs>
                <w:tab w:val="left" w:pos="960"/>
              </w:tabs>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11.4</w:t>
            </w:r>
          </w:p>
        </w:tc>
      </w:tr>
      <w:tr w:rsidR="00AC33F3" w:rsidRPr="00AC33F3" w14:paraId="3465C8CC" w14:textId="77777777" w:rsidTr="00A03923">
        <w:trPr>
          <w:trHeight w:val="30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7D1C113" w14:textId="77777777" w:rsidR="00AC33F3" w:rsidRPr="00AC33F3" w:rsidRDefault="00AC33F3" w:rsidP="00C664FF">
            <w:pPr>
              <w:spacing w:line="288" w:lineRule="auto"/>
              <w:rPr>
                <w:rFonts w:eastAsia="Calibri" w:cs="Times New Roman"/>
                <w:color w:val="000000"/>
              </w:rPr>
            </w:pPr>
            <w:r w:rsidRPr="00AC33F3">
              <w:rPr>
                <w:rFonts w:eastAsia="Calibri" w:cs="Times New Roman"/>
                <w:color w:val="000000"/>
              </w:rPr>
              <w:t>Management Band 1</w:t>
            </w:r>
          </w:p>
        </w:tc>
        <w:tc>
          <w:tcPr>
            <w:tcW w:w="1984" w:type="dxa"/>
            <w:vAlign w:val="center"/>
            <w:hideMark/>
          </w:tcPr>
          <w:p w14:paraId="14E8A410"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72</w:t>
            </w:r>
          </w:p>
        </w:tc>
        <w:tc>
          <w:tcPr>
            <w:tcW w:w="6634" w:type="dxa"/>
            <w:vAlign w:val="center"/>
            <w:hideMark/>
          </w:tcPr>
          <w:p w14:paraId="3BEAA918"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15.5</w:t>
            </w:r>
          </w:p>
        </w:tc>
      </w:tr>
      <w:tr w:rsidR="00AC33F3" w:rsidRPr="00AC33F3" w14:paraId="68CE17D3" w14:textId="77777777" w:rsidTr="00A039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3FD51419" w14:textId="77777777" w:rsidR="00AC33F3" w:rsidRPr="00AC33F3" w:rsidRDefault="00AC33F3" w:rsidP="00C664FF">
            <w:pPr>
              <w:spacing w:line="288" w:lineRule="auto"/>
              <w:rPr>
                <w:rFonts w:eastAsia="Calibri" w:cs="Times New Roman"/>
                <w:color w:val="000000"/>
              </w:rPr>
            </w:pPr>
            <w:r w:rsidRPr="00AC33F3">
              <w:rPr>
                <w:rFonts w:eastAsia="Calibri" w:cs="Times New Roman"/>
                <w:color w:val="000000"/>
              </w:rPr>
              <w:t>Management Band 2</w:t>
            </w:r>
          </w:p>
        </w:tc>
        <w:tc>
          <w:tcPr>
            <w:tcW w:w="1984" w:type="dxa"/>
            <w:vAlign w:val="center"/>
            <w:hideMark/>
          </w:tcPr>
          <w:p w14:paraId="6C70E2B0"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125</w:t>
            </w:r>
          </w:p>
        </w:tc>
        <w:tc>
          <w:tcPr>
            <w:tcW w:w="6634" w:type="dxa"/>
            <w:vAlign w:val="center"/>
            <w:hideMark/>
          </w:tcPr>
          <w:p w14:paraId="41B57173"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26.8</w:t>
            </w:r>
          </w:p>
        </w:tc>
      </w:tr>
      <w:tr w:rsidR="00AC33F3" w:rsidRPr="00AC33F3" w14:paraId="58D2FE8E" w14:textId="77777777" w:rsidTr="00A03923">
        <w:trPr>
          <w:trHeight w:val="30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4574EBB1" w14:textId="77777777" w:rsidR="00AC33F3" w:rsidRPr="00AC33F3" w:rsidRDefault="00AC33F3" w:rsidP="00C664FF">
            <w:pPr>
              <w:spacing w:line="288" w:lineRule="auto"/>
              <w:rPr>
                <w:rFonts w:eastAsia="Calibri" w:cs="Times New Roman"/>
                <w:color w:val="000000"/>
              </w:rPr>
            </w:pPr>
            <w:r w:rsidRPr="00AC33F3">
              <w:rPr>
                <w:rFonts w:eastAsia="Calibri" w:cs="Times New Roman"/>
                <w:color w:val="000000"/>
              </w:rPr>
              <w:t>Management Band 3</w:t>
            </w:r>
          </w:p>
        </w:tc>
        <w:tc>
          <w:tcPr>
            <w:tcW w:w="1984" w:type="dxa"/>
            <w:vAlign w:val="center"/>
            <w:hideMark/>
          </w:tcPr>
          <w:p w14:paraId="3182D0AD"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67</w:t>
            </w:r>
          </w:p>
        </w:tc>
        <w:tc>
          <w:tcPr>
            <w:tcW w:w="6634" w:type="dxa"/>
            <w:vAlign w:val="center"/>
            <w:hideMark/>
          </w:tcPr>
          <w:p w14:paraId="028C3B7E"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14.4</w:t>
            </w:r>
          </w:p>
        </w:tc>
      </w:tr>
      <w:tr w:rsidR="00AC33F3" w:rsidRPr="00AC33F3" w14:paraId="7A019356" w14:textId="77777777" w:rsidTr="00A03923">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317C66C1" w14:textId="77777777" w:rsidR="00AC33F3" w:rsidRPr="00AC33F3" w:rsidRDefault="00AC33F3" w:rsidP="00C664FF">
            <w:pPr>
              <w:spacing w:line="288" w:lineRule="auto"/>
              <w:rPr>
                <w:rFonts w:eastAsia="Calibri" w:cs="Times New Roman"/>
                <w:color w:val="000000"/>
              </w:rPr>
            </w:pPr>
            <w:r w:rsidRPr="00AC33F3">
              <w:rPr>
                <w:rFonts w:eastAsia="Calibri" w:cs="Times New Roman"/>
                <w:color w:val="000000"/>
              </w:rPr>
              <w:t>Team Support</w:t>
            </w:r>
          </w:p>
        </w:tc>
        <w:tc>
          <w:tcPr>
            <w:tcW w:w="1984" w:type="dxa"/>
            <w:vAlign w:val="center"/>
            <w:hideMark/>
          </w:tcPr>
          <w:p w14:paraId="0C7ECA71"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126</w:t>
            </w:r>
          </w:p>
        </w:tc>
        <w:tc>
          <w:tcPr>
            <w:tcW w:w="6634" w:type="dxa"/>
            <w:vAlign w:val="center"/>
            <w:hideMark/>
          </w:tcPr>
          <w:p w14:paraId="7728F9BC"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27.0</w:t>
            </w:r>
          </w:p>
        </w:tc>
      </w:tr>
      <w:tr w:rsidR="00AC33F3" w:rsidRPr="00AC33F3" w14:paraId="63C3B1C1" w14:textId="77777777" w:rsidTr="00A03923">
        <w:trPr>
          <w:trHeight w:val="601"/>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297E35C4" w14:textId="77777777" w:rsidR="00AC33F3" w:rsidRPr="00AC33F3" w:rsidRDefault="00AC33F3" w:rsidP="00C664FF">
            <w:pPr>
              <w:spacing w:line="288" w:lineRule="auto"/>
              <w:rPr>
                <w:rFonts w:eastAsia="Calibri" w:cs="Times New Roman"/>
                <w:color w:val="000000"/>
              </w:rPr>
            </w:pPr>
            <w:r w:rsidRPr="00AC33F3">
              <w:rPr>
                <w:rFonts w:eastAsia="Calibri" w:cs="Times New Roman"/>
                <w:color w:val="000000"/>
              </w:rPr>
              <w:t>Apprentices</w:t>
            </w:r>
          </w:p>
        </w:tc>
        <w:tc>
          <w:tcPr>
            <w:tcW w:w="1984" w:type="dxa"/>
            <w:vAlign w:val="center"/>
            <w:hideMark/>
          </w:tcPr>
          <w:p w14:paraId="69E16CDA"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4</w:t>
            </w:r>
          </w:p>
        </w:tc>
        <w:tc>
          <w:tcPr>
            <w:tcW w:w="6634" w:type="dxa"/>
            <w:vAlign w:val="center"/>
            <w:hideMark/>
          </w:tcPr>
          <w:p w14:paraId="0819E06F"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0.9</w:t>
            </w:r>
          </w:p>
        </w:tc>
      </w:tr>
      <w:tr w:rsidR="00AC33F3" w:rsidRPr="00AC33F3" w14:paraId="4373C823" w14:textId="77777777" w:rsidTr="00A039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65871220" w14:textId="77777777" w:rsidR="00AC33F3" w:rsidRPr="00AC33F3" w:rsidRDefault="00AC33F3" w:rsidP="00C664FF">
            <w:pPr>
              <w:spacing w:line="288" w:lineRule="auto"/>
              <w:rPr>
                <w:rFonts w:eastAsia="Calibri" w:cs="Times New Roman"/>
                <w:color w:val="000000"/>
              </w:rPr>
            </w:pPr>
            <w:r w:rsidRPr="00AC33F3">
              <w:rPr>
                <w:rFonts w:eastAsia="Calibri" w:cs="Times New Roman"/>
                <w:color w:val="000000"/>
              </w:rPr>
              <w:t xml:space="preserve">Total </w:t>
            </w:r>
          </w:p>
        </w:tc>
        <w:tc>
          <w:tcPr>
            <w:tcW w:w="1984" w:type="dxa"/>
            <w:vAlign w:val="center"/>
            <w:hideMark/>
          </w:tcPr>
          <w:p w14:paraId="09CF4DBD"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466</w:t>
            </w:r>
          </w:p>
        </w:tc>
        <w:tc>
          <w:tcPr>
            <w:tcW w:w="6634" w:type="dxa"/>
            <w:vAlign w:val="center"/>
            <w:hideMark/>
          </w:tcPr>
          <w:p w14:paraId="70E605A7"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100.0</w:t>
            </w:r>
          </w:p>
        </w:tc>
      </w:tr>
    </w:tbl>
    <w:p w14:paraId="68BF18A2" w14:textId="3A28E523" w:rsidR="00AC33F3" w:rsidRDefault="00AC33F3" w:rsidP="00AC33F3">
      <w:pPr>
        <w:pStyle w:val="3Copy-text"/>
      </w:pPr>
      <w:r w:rsidRPr="00AC33F3">
        <w:t>The pay grades with the largest amount of staff are MB2 (26.8%) and TS (27.0%) respectively.</w:t>
      </w:r>
    </w:p>
    <w:p w14:paraId="4DEB3D31" w14:textId="77777777" w:rsidR="00AC33F3" w:rsidRDefault="00AC33F3">
      <w:pPr>
        <w:spacing w:before="0" w:after="160" w:line="259" w:lineRule="auto"/>
        <w:rPr>
          <w:color w:val="414042"/>
          <w:kern w:val="24"/>
        </w:rPr>
      </w:pPr>
      <w:r>
        <w:br w:type="page"/>
      </w:r>
    </w:p>
    <w:p w14:paraId="5CC5E4B7" w14:textId="77777777" w:rsidR="00AC33F3" w:rsidRDefault="00AC33F3" w:rsidP="00AC33F3">
      <w:pPr>
        <w:pStyle w:val="2Sub-headings"/>
      </w:pPr>
      <w:r>
        <w:lastRenderedPageBreak/>
        <w:t>Age</w:t>
      </w:r>
    </w:p>
    <w:p w14:paraId="7593A727" w14:textId="13031872" w:rsidR="006301C6" w:rsidRDefault="006301C6" w:rsidP="006301C6">
      <w:pPr>
        <w:pStyle w:val="Caption"/>
        <w:keepNext/>
      </w:pPr>
      <w:r>
        <w:t xml:space="preserve">Table </w:t>
      </w:r>
      <w:fldSimple w:instr=" SEQ Table \* ARABIC ">
        <w:r w:rsidR="00332158">
          <w:rPr>
            <w:noProof/>
          </w:rPr>
          <w:t>2</w:t>
        </w:r>
      </w:fldSimple>
      <w:r>
        <w:t xml:space="preserve">: </w:t>
      </w:r>
      <w:r w:rsidRPr="005D0A74">
        <w:t>Workforce Age Profile</w:t>
      </w:r>
    </w:p>
    <w:tbl>
      <w:tblPr>
        <w:tblStyle w:val="GridTable4-Accent4"/>
        <w:tblW w:w="5000" w:type="pct"/>
        <w:tblLook w:val="04A0" w:firstRow="1" w:lastRow="0" w:firstColumn="1" w:lastColumn="0" w:noHBand="0" w:noVBand="1"/>
      </w:tblPr>
      <w:tblGrid>
        <w:gridCol w:w="3100"/>
        <w:gridCol w:w="2405"/>
        <w:gridCol w:w="2935"/>
        <w:gridCol w:w="4054"/>
        <w:gridCol w:w="2292"/>
      </w:tblGrid>
      <w:tr w:rsidR="00AC33F3" w:rsidRPr="00AC33F3" w14:paraId="7D0C8170" w14:textId="77777777" w:rsidTr="00AC33F3">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048" w:type="pct"/>
            <w:hideMark/>
          </w:tcPr>
          <w:p w14:paraId="3B4932B6" w14:textId="77777777" w:rsidR="00AC33F3" w:rsidRPr="00AC33F3" w:rsidRDefault="00AC33F3" w:rsidP="00C664FF">
            <w:pPr>
              <w:spacing w:line="288" w:lineRule="auto"/>
              <w:rPr>
                <w:rFonts w:eastAsia="Cynulliad Sans" w:cs="Times New Roman"/>
              </w:rPr>
            </w:pPr>
            <w:r w:rsidRPr="00AC33F3">
              <w:rPr>
                <w:rFonts w:eastAsia="Cynulliad Sans" w:cs="Times New Roman"/>
              </w:rPr>
              <w:t>Age range</w:t>
            </w:r>
          </w:p>
        </w:tc>
        <w:tc>
          <w:tcPr>
            <w:tcW w:w="813" w:type="pct"/>
            <w:hideMark/>
          </w:tcPr>
          <w:p w14:paraId="022B3CD9" w14:textId="77777777" w:rsidR="00AC33F3" w:rsidRPr="00AC33F3" w:rsidRDefault="00AC33F3" w:rsidP="00C664F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rPr>
            </w:pPr>
            <w:r w:rsidRPr="00AC33F3">
              <w:rPr>
                <w:rFonts w:eastAsia="Cynulliad Sans" w:cs="Times New Roman"/>
              </w:rPr>
              <w:t xml:space="preserve">Number </w:t>
            </w:r>
          </w:p>
        </w:tc>
        <w:tc>
          <w:tcPr>
            <w:tcW w:w="992" w:type="pct"/>
            <w:hideMark/>
          </w:tcPr>
          <w:p w14:paraId="4FCA044F" w14:textId="77777777" w:rsidR="00AC33F3" w:rsidRPr="00AC33F3" w:rsidRDefault="00AC33F3" w:rsidP="00C664F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rPr>
            </w:pPr>
            <w:r w:rsidRPr="00AC33F3">
              <w:rPr>
                <w:rFonts w:eastAsia="Cynulliad Sans" w:cs="Times New Roman"/>
              </w:rPr>
              <w:t>% of total workforce</w:t>
            </w:r>
          </w:p>
        </w:tc>
        <w:tc>
          <w:tcPr>
            <w:tcW w:w="1371" w:type="pct"/>
            <w:hideMark/>
          </w:tcPr>
          <w:p w14:paraId="14141C60" w14:textId="77777777" w:rsidR="00AC33F3" w:rsidRPr="00AC33F3" w:rsidRDefault="00AC33F3" w:rsidP="00C664F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rPr>
            </w:pPr>
            <w:r w:rsidRPr="00AC33F3">
              <w:rPr>
                <w:rFonts w:eastAsia="Cynulliad Sans" w:cs="Times New Roman"/>
              </w:rPr>
              <w:t>% total as at 31 March 2016 </w:t>
            </w:r>
          </w:p>
        </w:tc>
        <w:tc>
          <w:tcPr>
            <w:tcW w:w="775" w:type="pct"/>
            <w:hideMark/>
          </w:tcPr>
          <w:p w14:paraId="629158E7" w14:textId="77777777" w:rsidR="00AC33F3" w:rsidRPr="00AC33F3" w:rsidRDefault="00AC33F3" w:rsidP="00C664FF">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rPr>
            </w:pPr>
            <w:r w:rsidRPr="00AC33F3">
              <w:rPr>
                <w:rFonts w:eastAsia="Cynulliad Sans" w:cs="Times New Roman"/>
              </w:rPr>
              <w:t>% point change</w:t>
            </w:r>
          </w:p>
        </w:tc>
      </w:tr>
      <w:tr w:rsidR="00AC33F3" w:rsidRPr="00AC33F3" w14:paraId="29046562"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63CE98A0"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Under 21</w:t>
            </w:r>
          </w:p>
        </w:tc>
        <w:tc>
          <w:tcPr>
            <w:tcW w:w="813" w:type="pct"/>
            <w:hideMark/>
          </w:tcPr>
          <w:p w14:paraId="07C2248B"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3</w:t>
            </w:r>
          </w:p>
        </w:tc>
        <w:tc>
          <w:tcPr>
            <w:tcW w:w="992" w:type="pct"/>
            <w:hideMark/>
          </w:tcPr>
          <w:p w14:paraId="3E00A9FC"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0.6</w:t>
            </w:r>
          </w:p>
        </w:tc>
        <w:tc>
          <w:tcPr>
            <w:tcW w:w="1371" w:type="pct"/>
            <w:hideMark/>
          </w:tcPr>
          <w:p w14:paraId="3A85F8F2"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0.7</w:t>
            </w:r>
          </w:p>
        </w:tc>
        <w:tc>
          <w:tcPr>
            <w:tcW w:w="775" w:type="pct"/>
            <w:noWrap/>
            <w:hideMark/>
          </w:tcPr>
          <w:p w14:paraId="40AC31EF"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-0.1</w:t>
            </w:r>
          </w:p>
        </w:tc>
      </w:tr>
      <w:tr w:rsidR="00AC33F3" w:rsidRPr="00AC33F3" w14:paraId="2207B229"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28B225FD"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21-25</w:t>
            </w:r>
          </w:p>
        </w:tc>
        <w:tc>
          <w:tcPr>
            <w:tcW w:w="813" w:type="pct"/>
            <w:hideMark/>
          </w:tcPr>
          <w:p w14:paraId="55681607"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26</w:t>
            </w:r>
          </w:p>
        </w:tc>
        <w:tc>
          <w:tcPr>
            <w:tcW w:w="992" w:type="pct"/>
            <w:hideMark/>
          </w:tcPr>
          <w:p w14:paraId="1521F073"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5.6</w:t>
            </w:r>
          </w:p>
        </w:tc>
        <w:tc>
          <w:tcPr>
            <w:tcW w:w="1371" w:type="pct"/>
            <w:hideMark/>
          </w:tcPr>
          <w:p w14:paraId="52122073"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8.1</w:t>
            </w:r>
          </w:p>
        </w:tc>
        <w:tc>
          <w:tcPr>
            <w:tcW w:w="775" w:type="pct"/>
            <w:noWrap/>
            <w:hideMark/>
          </w:tcPr>
          <w:p w14:paraId="1C73D038"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-2.5</w:t>
            </w:r>
          </w:p>
        </w:tc>
      </w:tr>
      <w:tr w:rsidR="00AC33F3" w:rsidRPr="00AC33F3" w14:paraId="74C654B8"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1C4AA31E"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26-30</w:t>
            </w:r>
          </w:p>
        </w:tc>
        <w:tc>
          <w:tcPr>
            <w:tcW w:w="813" w:type="pct"/>
            <w:hideMark/>
          </w:tcPr>
          <w:p w14:paraId="76606FAA"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65</w:t>
            </w:r>
          </w:p>
        </w:tc>
        <w:tc>
          <w:tcPr>
            <w:tcW w:w="992" w:type="pct"/>
            <w:hideMark/>
          </w:tcPr>
          <w:p w14:paraId="6CA8CEAE"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13.9</w:t>
            </w:r>
          </w:p>
        </w:tc>
        <w:tc>
          <w:tcPr>
            <w:tcW w:w="1371" w:type="pct"/>
            <w:hideMark/>
          </w:tcPr>
          <w:p w14:paraId="230DE837"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11.2</w:t>
            </w:r>
          </w:p>
        </w:tc>
        <w:tc>
          <w:tcPr>
            <w:tcW w:w="775" w:type="pct"/>
            <w:noWrap/>
            <w:hideMark/>
          </w:tcPr>
          <w:p w14:paraId="67925B52"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2.7</w:t>
            </w:r>
          </w:p>
        </w:tc>
      </w:tr>
      <w:tr w:rsidR="00AC33F3" w:rsidRPr="00AC33F3" w14:paraId="01C477D2"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77AD0150"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31-35</w:t>
            </w:r>
          </w:p>
        </w:tc>
        <w:tc>
          <w:tcPr>
            <w:tcW w:w="813" w:type="pct"/>
            <w:hideMark/>
          </w:tcPr>
          <w:p w14:paraId="43185E9C"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95</w:t>
            </w:r>
          </w:p>
        </w:tc>
        <w:tc>
          <w:tcPr>
            <w:tcW w:w="992" w:type="pct"/>
            <w:hideMark/>
          </w:tcPr>
          <w:p w14:paraId="18F26CF4"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20.4</w:t>
            </w:r>
          </w:p>
        </w:tc>
        <w:tc>
          <w:tcPr>
            <w:tcW w:w="1371" w:type="pct"/>
            <w:hideMark/>
          </w:tcPr>
          <w:p w14:paraId="274A7DCC"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21.1</w:t>
            </w:r>
          </w:p>
        </w:tc>
        <w:tc>
          <w:tcPr>
            <w:tcW w:w="775" w:type="pct"/>
            <w:noWrap/>
            <w:hideMark/>
          </w:tcPr>
          <w:p w14:paraId="6FC8B494"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-0.7</w:t>
            </w:r>
          </w:p>
        </w:tc>
      </w:tr>
      <w:tr w:rsidR="00AC33F3" w:rsidRPr="00AC33F3" w14:paraId="3E7D879F"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6935760C"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36-40</w:t>
            </w:r>
          </w:p>
        </w:tc>
        <w:tc>
          <w:tcPr>
            <w:tcW w:w="813" w:type="pct"/>
            <w:hideMark/>
          </w:tcPr>
          <w:p w14:paraId="42FEA47F"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79</w:t>
            </w:r>
          </w:p>
        </w:tc>
        <w:tc>
          <w:tcPr>
            <w:tcW w:w="992" w:type="pct"/>
            <w:hideMark/>
          </w:tcPr>
          <w:p w14:paraId="3DF96977"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17.0</w:t>
            </w:r>
          </w:p>
        </w:tc>
        <w:tc>
          <w:tcPr>
            <w:tcW w:w="1371" w:type="pct"/>
            <w:hideMark/>
          </w:tcPr>
          <w:p w14:paraId="244FBF17"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18.6</w:t>
            </w:r>
          </w:p>
        </w:tc>
        <w:tc>
          <w:tcPr>
            <w:tcW w:w="775" w:type="pct"/>
            <w:noWrap/>
            <w:hideMark/>
          </w:tcPr>
          <w:p w14:paraId="2262AC6D"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-1.6</w:t>
            </w:r>
          </w:p>
        </w:tc>
      </w:tr>
      <w:tr w:rsidR="00AC33F3" w:rsidRPr="00AC33F3" w14:paraId="65214CA1"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70C8B72D"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41-45</w:t>
            </w:r>
          </w:p>
        </w:tc>
        <w:tc>
          <w:tcPr>
            <w:tcW w:w="813" w:type="pct"/>
            <w:hideMark/>
          </w:tcPr>
          <w:p w14:paraId="5F282013"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56</w:t>
            </w:r>
          </w:p>
        </w:tc>
        <w:tc>
          <w:tcPr>
            <w:tcW w:w="992" w:type="pct"/>
            <w:hideMark/>
          </w:tcPr>
          <w:p w14:paraId="216353F1"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12.0</w:t>
            </w:r>
          </w:p>
        </w:tc>
        <w:tc>
          <w:tcPr>
            <w:tcW w:w="1371" w:type="pct"/>
            <w:hideMark/>
          </w:tcPr>
          <w:p w14:paraId="7A98129F"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10.8</w:t>
            </w:r>
          </w:p>
        </w:tc>
        <w:tc>
          <w:tcPr>
            <w:tcW w:w="775" w:type="pct"/>
            <w:noWrap/>
            <w:hideMark/>
          </w:tcPr>
          <w:p w14:paraId="370F684E"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1.2</w:t>
            </w:r>
          </w:p>
        </w:tc>
      </w:tr>
      <w:tr w:rsidR="00AC33F3" w:rsidRPr="00AC33F3" w14:paraId="183A1337"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4985A397"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46-50</w:t>
            </w:r>
          </w:p>
        </w:tc>
        <w:tc>
          <w:tcPr>
            <w:tcW w:w="813" w:type="pct"/>
            <w:hideMark/>
          </w:tcPr>
          <w:p w14:paraId="26E1AF4C"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50</w:t>
            </w:r>
          </w:p>
        </w:tc>
        <w:tc>
          <w:tcPr>
            <w:tcW w:w="992" w:type="pct"/>
            <w:hideMark/>
          </w:tcPr>
          <w:p w14:paraId="3B0ECF7A"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10.7</w:t>
            </w:r>
          </w:p>
        </w:tc>
        <w:tc>
          <w:tcPr>
            <w:tcW w:w="1371" w:type="pct"/>
            <w:hideMark/>
          </w:tcPr>
          <w:p w14:paraId="423A3F21"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10.1</w:t>
            </w:r>
          </w:p>
        </w:tc>
        <w:tc>
          <w:tcPr>
            <w:tcW w:w="775" w:type="pct"/>
            <w:noWrap/>
            <w:hideMark/>
          </w:tcPr>
          <w:p w14:paraId="4F94BD96"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0.6</w:t>
            </w:r>
          </w:p>
        </w:tc>
      </w:tr>
      <w:tr w:rsidR="00AC33F3" w:rsidRPr="00AC33F3" w14:paraId="642602A5"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06FFD1CB"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51-55</w:t>
            </w:r>
          </w:p>
        </w:tc>
        <w:tc>
          <w:tcPr>
            <w:tcW w:w="813" w:type="pct"/>
            <w:hideMark/>
          </w:tcPr>
          <w:p w14:paraId="1F1FFDB0"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42</w:t>
            </w:r>
          </w:p>
        </w:tc>
        <w:tc>
          <w:tcPr>
            <w:tcW w:w="992" w:type="pct"/>
            <w:hideMark/>
          </w:tcPr>
          <w:p w14:paraId="29541178"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9.0</w:t>
            </w:r>
          </w:p>
        </w:tc>
        <w:tc>
          <w:tcPr>
            <w:tcW w:w="1371" w:type="pct"/>
            <w:hideMark/>
          </w:tcPr>
          <w:p w14:paraId="192EFBD7"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8.7</w:t>
            </w:r>
          </w:p>
        </w:tc>
        <w:tc>
          <w:tcPr>
            <w:tcW w:w="775" w:type="pct"/>
            <w:noWrap/>
            <w:hideMark/>
          </w:tcPr>
          <w:p w14:paraId="3A803961"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0.3</w:t>
            </w:r>
          </w:p>
        </w:tc>
      </w:tr>
      <w:tr w:rsidR="00AC33F3" w:rsidRPr="00AC33F3" w14:paraId="5850F606"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21406DED"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56-60</w:t>
            </w:r>
          </w:p>
        </w:tc>
        <w:tc>
          <w:tcPr>
            <w:tcW w:w="813" w:type="pct"/>
            <w:hideMark/>
          </w:tcPr>
          <w:p w14:paraId="3FC5EBD9"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35</w:t>
            </w:r>
          </w:p>
        </w:tc>
        <w:tc>
          <w:tcPr>
            <w:tcW w:w="992" w:type="pct"/>
            <w:hideMark/>
          </w:tcPr>
          <w:p w14:paraId="26F5BA00"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7.5</w:t>
            </w:r>
          </w:p>
        </w:tc>
        <w:tc>
          <w:tcPr>
            <w:tcW w:w="1371" w:type="pct"/>
            <w:hideMark/>
          </w:tcPr>
          <w:p w14:paraId="3BED677E"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7.0</w:t>
            </w:r>
          </w:p>
        </w:tc>
        <w:tc>
          <w:tcPr>
            <w:tcW w:w="775" w:type="pct"/>
            <w:noWrap/>
            <w:hideMark/>
          </w:tcPr>
          <w:p w14:paraId="1DA83048"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0.5</w:t>
            </w:r>
          </w:p>
        </w:tc>
      </w:tr>
      <w:tr w:rsidR="00AC33F3" w:rsidRPr="00AC33F3" w14:paraId="730BEE5D"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34FB230A"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61-65</w:t>
            </w:r>
          </w:p>
        </w:tc>
        <w:tc>
          <w:tcPr>
            <w:tcW w:w="813" w:type="pct"/>
            <w:hideMark/>
          </w:tcPr>
          <w:p w14:paraId="217C0ED3"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14</w:t>
            </w:r>
          </w:p>
        </w:tc>
        <w:tc>
          <w:tcPr>
            <w:tcW w:w="992" w:type="pct"/>
            <w:hideMark/>
          </w:tcPr>
          <w:p w14:paraId="2F51867A"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3.0</w:t>
            </w:r>
          </w:p>
        </w:tc>
        <w:tc>
          <w:tcPr>
            <w:tcW w:w="1371" w:type="pct"/>
            <w:hideMark/>
          </w:tcPr>
          <w:p w14:paraId="65A0B748"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2.9</w:t>
            </w:r>
          </w:p>
        </w:tc>
        <w:tc>
          <w:tcPr>
            <w:tcW w:w="775" w:type="pct"/>
            <w:noWrap/>
            <w:hideMark/>
          </w:tcPr>
          <w:p w14:paraId="61A43180"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0.1</w:t>
            </w:r>
          </w:p>
        </w:tc>
      </w:tr>
      <w:tr w:rsidR="00AC33F3" w:rsidRPr="00AC33F3" w14:paraId="44974155"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8" w:type="pct"/>
            <w:hideMark/>
          </w:tcPr>
          <w:p w14:paraId="2BC45116"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65+</w:t>
            </w:r>
          </w:p>
        </w:tc>
        <w:tc>
          <w:tcPr>
            <w:tcW w:w="813" w:type="pct"/>
            <w:hideMark/>
          </w:tcPr>
          <w:p w14:paraId="256770AA"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1</w:t>
            </w:r>
          </w:p>
        </w:tc>
        <w:tc>
          <w:tcPr>
            <w:tcW w:w="992" w:type="pct"/>
            <w:hideMark/>
          </w:tcPr>
          <w:p w14:paraId="0C5A0207"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0.2</w:t>
            </w:r>
          </w:p>
        </w:tc>
        <w:tc>
          <w:tcPr>
            <w:tcW w:w="1371" w:type="pct"/>
            <w:hideMark/>
          </w:tcPr>
          <w:p w14:paraId="740C78F8"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0.9</w:t>
            </w:r>
          </w:p>
        </w:tc>
        <w:tc>
          <w:tcPr>
            <w:tcW w:w="775" w:type="pct"/>
            <w:noWrap/>
            <w:hideMark/>
          </w:tcPr>
          <w:p w14:paraId="1D89A54D" w14:textId="77777777" w:rsidR="00AC33F3" w:rsidRPr="00AC33F3" w:rsidRDefault="00AC33F3" w:rsidP="00C664FF">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000000"/>
              </w:rPr>
            </w:pPr>
            <w:r w:rsidRPr="00AC33F3">
              <w:rPr>
                <w:rFonts w:eastAsia="Cynulliad Sans" w:cs="Times New Roman"/>
                <w:color w:val="000000"/>
              </w:rPr>
              <w:t>-0.7</w:t>
            </w:r>
          </w:p>
        </w:tc>
      </w:tr>
      <w:tr w:rsidR="00AC33F3" w:rsidRPr="00AC33F3" w14:paraId="25CC789B"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1048" w:type="pct"/>
            <w:noWrap/>
            <w:hideMark/>
          </w:tcPr>
          <w:p w14:paraId="79B222DB" w14:textId="77777777" w:rsidR="00AC33F3" w:rsidRPr="00AC33F3" w:rsidRDefault="00AC33F3" w:rsidP="00C664FF">
            <w:pPr>
              <w:spacing w:line="288" w:lineRule="auto"/>
              <w:rPr>
                <w:rFonts w:eastAsia="Cynulliad Sans" w:cs="Times New Roman"/>
                <w:color w:val="000000"/>
              </w:rPr>
            </w:pPr>
            <w:r w:rsidRPr="00AC33F3">
              <w:rPr>
                <w:rFonts w:eastAsia="Cynulliad Sans" w:cs="Times New Roman"/>
                <w:color w:val="000000"/>
              </w:rPr>
              <w:t>Total</w:t>
            </w:r>
          </w:p>
        </w:tc>
        <w:tc>
          <w:tcPr>
            <w:tcW w:w="813" w:type="pct"/>
            <w:noWrap/>
            <w:hideMark/>
          </w:tcPr>
          <w:p w14:paraId="41F0289D"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b/>
                <w:bCs/>
                <w:color w:val="000000"/>
              </w:rPr>
            </w:pPr>
            <w:bookmarkStart w:id="6" w:name="RANGE!B14"/>
            <w:r w:rsidRPr="00AC33F3">
              <w:rPr>
                <w:rFonts w:eastAsia="Cynulliad Sans" w:cs="Times New Roman"/>
                <w:b/>
                <w:bCs/>
                <w:color w:val="000000"/>
              </w:rPr>
              <w:t>466</w:t>
            </w:r>
            <w:bookmarkEnd w:id="6"/>
          </w:p>
        </w:tc>
        <w:tc>
          <w:tcPr>
            <w:tcW w:w="992" w:type="pct"/>
            <w:hideMark/>
          </w:tcPr>
          <w:p w14:paraId="3552EF05"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b/>
                <w:bCs/>
                <w:color w:val="000000"/>
              </w:rPr>
            </w:pPr>
            <w:r w:rsidRPr="00AC33F3">
              <w:rPr>
                <w:rFonts w:eastAsia="Cynulliad Sans" w:cs="Times New Roman"/>
                <w:b/>
                <w:bCs/>
                <w:color w:val="000000"/>
              </w:rPr>
              <w:t>100.0</w:t>
            </w:r>
          </w:p>
        </w:tc>
        <w:tc>
          <w:tcPr>
            <w:tcW w:w="1371" w:type="pct"/>
            <w:hideMark/>
          </w:tcPr>
          <w:p w14:paraId="49A86071"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b/>
                <w:bCs/>
                <w:color w:val="000000"/>
              </w:rPr>
            </w:pPr>
            <w:r w:rsidRPr="00AC33F3">
              <w:rPr>
                <w:rFonts w:eastAsia="Cynulliad Sans" w:cs="Times New Roman"/>
                <w:b/>
                <w:bCs/>
                <w:color w:val="000000"/>
              </w:rPr>
              <w:t>100.0</w:t>
            </w:r>
          </w:p>
        </w:tc>
        <w:tc>
          <w:tcPr>
            <w:tcW w:w="775" w:type="pct"/>
            <w:noWrap/>
            <w:hideMark/>
          </w:tcPr>
          <w:p w14:paraId="5B88AFC8" w14:textId="77777777" w:rsidR="00AC33F3" w:rsidRPr="00AC33F3" w:rsidRDefault="00AC33F3" w:rsidP="00C664FF">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b/>
                <w:bCs/>
                <w:color w:val="000000"/>
              </w:rPr>
            </w:pPr>
            <w:r w:rsidRPr="00AC33F3">
              <w:rPr>
                <w:rFonts w:eastAsia="Cynulliad Sans" w:cs="Times New Roman"/>
                <w:b/>
                <w:bCs/>
                <w:color w:val="000000"/>
              </w:rPr>
              <w:t>0.0</w:t>
            </w:r>
          </w:p>
        </w:tc>
      </w:tr>
    </w:tbl>
    <w:p w14:paraId="54975398" w14:textId="45165027" w:rsidR="00AC33F3" w:rsidRDefault="00AC33F3" w:rsidP="00AC33F3">
      <w:pPr>
        <w:pStyle w:val="3Copy-text"/>
      </w:pPr>
      <w:r w:rsidRPr="00AC33F3">
        <w:t>Disclosure rate: 100%</w:t>
      </w:r>
    </w:p>
    <w:p w14:paraId="1E593E91" w14:textId="77777777" w:rsidR="00A03923" w:rsidRDefault="00A03923" w:rsidP="00AC33F3">
      <w:pPr>
        <w:pStyle w:val="3Copy-text"/>
      </w:pPr>
    </w:p>
    <w:p w14:paraId="60C1F473" w14:textId="77777777" w:rsidR="00A03923" w:rsidRDefault="00A03923" w:rsidP="00AC33F3">
      <w:pPr>
        <w:pStyle w:val="3Copy-text"/>
      </w:pPr>
    </w:p>
    <w:p w14:paraId="0BCBCD53" w14:textId="77777777" w:rsidR="00A03923" w:rsidRDefault="00A03923" w:rsidP="00AC33F3">
      <w:pPr>
        <w:pStyle w:val="3Copy-text"/>
      </w:pPr>
    </w:p>
    <w:p w14:paraId="28417A68" w14:textId="77777777" w:rsidR="00AC33F3" w:rsidRDefault="00AC33F3" w:rsidP="00AC33F3">
      <w:pPr>
        <w:pStyle w:val="3Copy-text"/>
      </w:pPr>
      <w:r>
        <w:lastRenderedPageBreak/>
        <w:t>Analysis:</w:t>
      </w:r>
    </w:p>
    <w:p w14:paraId="7301BC5F" w14:textId="783E95F5" w:rsidR="00AC33F3" w:rsidRDefault="00AC33F3" w:rsidP="00AC33F3">
      <w:pPr>
        <w:pStyle w:val="4Bulletlist"/>
      </w:pPr>
      <w:r>
        <w:t>The age composition of our workforce has remained fairly static since 2014.</w:t>
      </w:r>
    </w:p>
    <w:p w14:paraId="24A48B7D" w14:textId="77101F66" w:rsidR="00AC33F3" w:rsidRDefault="00AC33F3" w:rsidP="00AC33F3">
      <w:pPr>
        <w:pStyle w:val="4Bulletlist"/>
      </w:pPr>
      <w:r>
        <w:t xml:space="preserve">According to data from the 2011 Census, 14.3% of people in the Cardiff Travel to Work Area (TTWA) who are economically active and employed are aged under 24.This compares to 6.2% of our workforce who are aged 25 and under. </w:t>
      </w:r>
    </w:p>
    <w:p w14:paraId="5788015E" w14:textId="2B62815B" w:rsidR="00AC33F3" w:rsidRDefault="00AC33F3" w:rsidP="00AC33F3">
      <w:pPr>
        <w:pStyle w:val="4Bulletlist"/>
      </w:pPr>
      <w:r>
        <w:t xml:space="preserve">19.5% of our workforce is aged between 51 and 65. This compares to data from the 2011 Census which states that 23.9% of people who are economically active and employed in the Cardiff TTWA are aged 50 to 64. </w:t>
      </w:r>
    </w:p>
    <w:p w14:paraId="17A94D84" w14:textId="69B3CAC5" w:rsidR="00AC33F3" w:rsidRDefault="00AC33F3" w:rsidP="00AC33F3">
      <w:pPr>
        <w:pStyle w:val="4Bulletlist"/>
      </w:pPr>
      <w:r>
        <w:t>We will continue to attract young people and older people into our workforce and will explore various options which could include undertaking further apprenticeship schemes and promoting the assembly as an employer of choice through recruitment outreach and by offering work placements. We will therefore take account of this as part of a wider strategy to address underrepresentation in our workforce via the development of an attraction strategy which is inclusive of all the protected characteristics; and</w:t>
      </w:r>
    </w:p>
    <w:p w14:paraId="550F76AD" w14:textId="3642294C" w:rsidR="00AC33F3" w:rsidRDefault="00AC33F3" w:rsidP="00AC33F3">
      <w:pPr>
        <w:pStyle w:val="4Bulletlist"/>
      </w:pPr>
      <w:r>
        <w:t xml:space="preserve">The largest group of staff by age range is 31-35 group which represents 20.4% of all staff, a slight decrease from the last reporting period from 21.1%. </w:t>
      </w:r>
    </w:p>
    <w:p w14:paraId="040DBBCB" w14:textId="34E1CAC4" w:rsidR="00AC33F3" w:rsidRDefault="00AC33F3">
      <w:pPr>
        <w:spacing w:before="0" w:after="160" w:line="259" w:lineRule="auto"/>
        <w:rPr>
          <w:color w:val="414042"/>
          <w:kern w:val="24"/>
        </w:rPr>
      </w:pPr>
      <w:r>
        <w:br w:type="page"/>
      </w:r>
    </w:p>
    <w:p w14:paraId="42DFAB96" w14:textId="1688B414" w:rsidR="00C9585E" w:rsidRDefault="00C9585E" w:rsidP="00C9585E">
      <w:pPr>
        <w:pStyle w:val="Caption"/>
        <w:keepNext/>
      </w:pPr>
      <w:r>
        <w:lastRenderedPageBreak/>
        <w:t xml:space="preserve">Table </w:t>
      </w:r>
      <w:fldSimple w:instr=" SEQ Table \* ARABIC ">
        <w:r w:rsidR="00332158">
          <w:rPr>
            <w:noProof/>
          </w:rPr>
          <w:t>3</w:t>
        </w:r>
      </w:fldSimple>
      <w:r>
        <w:t xml:space="preserve">: </w:t>
      </w:r>
      <w:r w:rsidRPr="009C247E">
        <w:t>External Recruitment by Age</w:t>
      </w:r>
    </w:p>
    <w:tbl>
      <w:tblPr>
        <w:tblStyle w:val="GridTable4-Accent4"/>
        <w:tblW w:w="5000" w:type="pct"/>
        <w:tblLayout w:type="fixed"/>
        <w:tblLook w:val="04A0" w:firstRow="1" w:lastRow="0" w:firstColumn="1" w:lastColumn="0" w:noHBand="0" w:noVBand="1"/>
      </w:tblPr>
      <w:tblGrid>
        <w:gridCol w:w="988"/>
        <w:gridCol w:w="1134"/>
        <w:gridCol w:w="1417"/>
        <w:gridCol w:w="1031"/>
        <w:gridCol w:w="1582"/>
        <w:gridCol w:w="1296"/>
        <w:gridCol w:w="1727"/>
        <w:gridCol w:w="1727"/>
        <w:gridCol w:w="2013"/>
        <w:gridCol w:w="1871"/>
      </w:tblGrid>
      <w:tr w:rsidR="00AC33F3" w:rsidRPr="00AC33F3" w14:paraId="795E0A40" w14:textId="77777777" w:rsidTr="00050E6E">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988" w:type="dxa"/>
            <w:hideMark/>
          </w:tcPr>
          <w:p w14:paraId="36D25FDC" w14:textId="77777777" w:rsidR="00AC33F3" w:rsidRPr="006D6CCF" w:rsidRDefault="00AC33F3" w:rsidP="00AC33F3">
            <w:pPr>
              <w:spacing w:before="0" w:after="200" w:line="264" w:lineRule="auto"/>
              <w:rPr>
                <w:rFonts w:eastAsia="Calibri" w:cs="Times New Roman"/>
                <w:sz w:val="22"/>
              </w:rPr>
            </w:pPr>
            <w:r w:rsidRPr="006D6CCF">
              <w:rPr>
                <w:rFonts w:eastAsia="Calibri" w:cs="Times New Roman"/>
                <w:sz w:val="22"/>
              </w:rPr>
              <w:t>Age range</w:t>
            </w:r>
          </w:p>
        </w:tc>
        <w:tc>
          <w:tcPr>
            <w:tcW w:w="2551" w:type="dxa"/>
            <w:gridSpan w:val="2"/>
            <w:hideMark/>
          </w:tcPr>
          <w:p w14:paraId="3FB45A15" w14:textId="77777777" w:rsidR="00AC33F3" w:rsidRPr="006D6CCF"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6D6CCF">
              <w:rPr>
                <w:rFonts w:eastAsia="Calibri" w:cs="Times New Roman"/>
                <w:sz w:val="22"/>
              </w:rPr>
              <w:t>Applications received</w:t>
            </w:r>
          </w:p>
        </w:tc>
        <w:tc>
          <w:tcPr>
            <w:tcW w:w="2613" w:type="dxa"/>
            <w:gridSpan w:val="2"/>
            <w:hideMark/>
          </w:tcPr>
          <w:p w14:paraId="04F0A555" w14:textId="77777777" w:rsidR="00AC33F3" w:rsidRPr="006D6CCF"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6D6CCF">
              <w:rPr>
                <w:rFonts w:eastAsia="Calibri" w:cs="Times New Roman"/>
                <w:sz w:val="22"/>
              </w:rPr>
              <w:t>Successful at sift</w:t>
            </w:r>
          </w:p>
        </w:tc>
        <w:tc>
          <w:tcPr>
            <w:tcW w:w="3023" w:type="dxa"/>
            <w:gridSpan w:val="2"/>
            <w:hideMark/>
          </w:tcPr>
          <w:p w14:paraId="1F036F38" w14:textId="77777777" w:rsidR="00AC33F3" w:rsidRPr="006D6CCF"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6D6CCF">
              <w:rPr>
                <w:rFonts w:eastAsia="Calibri" w:cs="Times New Roman"/>
                <w:sz w:val="22"/>
              </w:rPr>
              <w:t>Offer of employment</w:t>
            </w:r>
          </w:p>
        </w:tc>
        <w:tc>
          <w:tcPr>
            <w:tcW w:w="1727" w:type="dxa"/>
            <w:hideMark/>
          </w:tcPr>
          <w:p w14:paraId="61CE79CE" w14:textId="77777777" w:rsidR="00AC33F3" w:rsidRPr="006D6CCF"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6D6CCF">
              <w:rPr>
                <w:rFonts w:eastAsia="Calibri" w:cs="Times New Roman"/>
                <w:sz w:val="22"/>
              </w:rPr>
              <w:t>Overall success rate</w:t>
            </w:r>
          </w:p>
        </w:tc>
        <w:tc>
          <w:tcPr>
            <w:tcW w:w="2013" w:type="dxa"/>
            <w:hideMark/>
          </w:tcPr>
          <w:p w14:paraId="4923B218" w14:textId="77777777" w:rsidR="00AC33F3" w:rsidRPr="006D6CCF"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6D6CCF">
              <w:rPr>
                <w:rFonts w:eastAsia="Calibri" w:cs="Times New Roman"/>
                <w:sz w:val="22"/>
              </w:rPr>
              <w:t>Overall success rate 2015-16</w:t>
            </w:r>
          </w:p>
        </w:tc>
        <w:tc>
          <w:tcPr>
            <w:tcW w:w="1871" w:type="dxa"/>
            <w:hideMark/>
          </w:tcPr>
          <w:p w14:paraId="79742FE3" w14:textId="77777777" w:rsidR="00AC33F3" w:rsidRPr="006D6CCF"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rPr>
            </w:pPr>
            <w:r w:rsidRPr="006D6CCF">
              <w:rPr>
                <w:rFonts w:eastAsia="Calibri" w:cs="Times New Roman"/>
                <w:sz w:val="22"/>
              </w:rPr>
              <w:t xml:space="preserve">% of total job offers </w:t>
            </w:r>
          </w:p>
        </w:tc>
      </w:tr>
      <w:tr w:rsidR="005A5A9F" w:rsidRPr="00AC33F3" w14:paraId="01648AE8" w14:textId="77777777" w:rsidTr="00050E6E">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988" w:type="dxa"/>
          </w:tcPr>
          <w:p w14:paraId="27BC43F2" w14:textId="77777777" w:rsidR="00AC33F3" w:rsidRPr="005A5A9F" w:rsidRDefault="00AC33F3" w:rsidP="00AC33F3">
            <w:pPr>
              <w:spacing w:before="0" w:after="200" w:line="264" w:lineRule="auto"/>
              <w:rPr>
                <w:rFonts w:eastAsia="Calibri" w:cs="Times New Roman"/>
              </w:rPr>
            </w:pPr>
          </w:p>
        </w:tc>
        <w:tc>
          <w:tcPr>
            <w:tcW w:w="1134" w:type="dxa"/>
            <w:hideMark/>
          </w:tcPr>
          <w:p w14:paraId="7C8756C7"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AC33F3">
              <w:rPr>
                <w:rFonts w:eastAsia="Calibri" w:cs="Times New Roman"/>
                <w:b/>
                <w:color w:val="000000"/>
              </w:rPr>
              <w:t>number</w:t>
            </w:r>
          </w:p>
        </w:tc>
        <w:tc>
          <w:tcPr>
            <w:tcW w:w="1417" w:type="dxa"/>
            <w:hideMark/>
          </w:tcPr>
          <w:p w14:paraId="6F191583"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AC33F3">
              <w:rPr>
                <w:rFonts w:eastAsia="Calibri" w:cs="Times New Roman"/>
                <w:b/>
                <w:color w:val="000000"/>
              </w:rPr>
              <w:t>% of total application</w:t>
            </w:r>
          </w:p>
        </w:tc>
        <w:tc>
          <w:tcPr>
            <w:tcW w:w="1031" w:type="dxa"/>
            <w:hideMark/>
          </w:tcPr>
          <w:p w14:paraId="305B414B"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AC33F3">
              <w:rPr>
                <w:rFonts w:eastAsia="Calibri" w:cs="Times New Roman"/>
                <w:b/>
                <w:color w:val="000000"/>
              </w:rPr>
              <w:t>number</w:t>
            </w:r>
          </w:p>
        </w:tc>
        <w:tc>
          <w:tcPr>
            <w:tcW w:w="1582" w:type="dxa"/>
            <w:hideMark/>
          </w:tcPr>
          <w:p w14:paraId="37E4BA15"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AC33F3">
              <w:rPr>
                <w:rFonts w:eastAsia="Calibri" w:cs="Times New Roman"/>
                <w:b/>
                <w:color w:val="000000"/>
              </w:rPr>
              <w:t>% of applications successful at sift</w:t>
            </w:r>
          </w:p>
        </w:tc>
        <w:tc>
          <w:tcPr>
            <w:tcW w:w="1296" w:type="dxa"/>
            <w:hideMark/>
          </w:tcPr>
          <w:p w14:paraId="5CC37751"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AC33F3">
              <w:rPr>
                <w:rFonts w:eastAsia="Calibri" w:cs="Times New Roman"/>
                <w:b/>
                <w:color w:val="000000"/>
              </w:rPr>
              <w:t>number</w:t>
            </w:r>
          </w:p>
        </w:tc>
        <w:tc>
          <w:tcPr>
            <w:tcW w:w="1727" w:type="dxa"/>
            <w:hideMark/>
          </w:tcPr>
          <w:p w14:paraId="51C54766"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AC33F3">
              <w:rPr>
                <w:rFonts w:eastAsia="Calibri" w:cs="Times New Roman"/>
                <w:b/>
                <w:color w:val="000000"/>
              </w:rPr>
              <w:t>% of those successful at sift offered employment</w:t>
            </w:r>
          </w:p>
        </w:tc>
        <w:tc>
          <w:tcPr>
            <w:tcW w:w="1727" w:type="dxa"/>
            <w:hideMark/>
          </w:tcPr>
          <w:p w14:paraId="18510041" w14:textId="77777777" w:rsidR="00AC33F3" w:rsidRPr="00AC33F3" w:rsidRDefault="00AC33F3" w:rsidP="00AC33F3">
            <w:pPr>
              <w:tabs>
                <w:tab w:val="left" w:pos="1813"/>
              </w:tabs>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AC33F3">
              <w:rPr>
                <w:rFonts w:eastAsia="Calibri" w:cs="Times New Roman"/>
                <w:b/>
                <w:color w:val="000000"/>
              </w:rPr>
              <w:t>%</w:t>
            </w:r>
          </w:p>
        </w:tc>
        <w:tc>
          <w:tcPr>
            <w:tcW w:w="2013" w:type="dxa"/>
            <w:hideMark/>
          </w:tcPr>
          <w:p w14:paraId="76837C2D"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AC33F3">
              <w:rPr>
                <w:rFonts w:eastAsia="Calibri" w:cs="Times New Roman"/>
                <w:b/>
                <w:color w:val="000000"/>
              </w:rPr>
              <w:t>%</w:t>
            </w:r>
          </w:p>
        </w:tc>
        <w:tc>
          <w:tcPr>
            <w:tcW w:w="1871" w:type="dxa"/>
          </w:tcPr>
          <w:p w14:paraId="2D3FBDE3"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p>
        </w:tc>
      </w:tr>
      <w:tr w:rsidR="005A5A9F" w:rsidRPr="00AC33F3" w14:paraId="05185225" w14:textId="77777777" w:rsidTr="00050E6E">
        <w:trPr>
          <w:trHeight w:val="298"/>
        </w:trPr>
        <w:tc>
          <w:tcPr>
            <w:cnfStyle w:val="001000000000" w:firstRow="0" w:lastRow="0" w:firstColumn="1" w:lastColumn="0" w:oddVBand="0" w:evenVBand="0" w:oddHBand="0" w:evenHBand="0" w:firstRowFirstColumn="0" w:firstRowLastColumn="0" w:lastRowFirstColumn="0" w:lastRowLastColumn="0"/>
            <w:tcW w:w="988" w:type="dxa"/>
            <w:hideMark/>
          </w:tcPr>
          <w:p w14:paraId="093186CE" w14:textId="77777777" w:rsidR="00AC33F3" w:rsidRPr="005A5A9F" w:rsidRDefault="00AC33F3" w:rsidP="00AC33F3">
            <w:pPr>
              <w:spacing w:before="0" w:after="200" w:line="264" w:lineRule="auto"/>
              <w:rPr>
                <w:rFonts w:eastAsia="Calibri" w:cs="Times New Roman"/>
              </w:rPr>
            </w:pPr>
            <w:r w:rsidRPr="005A5A9F">
              <w:rPr>
                <w:rFonts w:eastAsia="Calibri" w:cs="Times New Roman"/>
              </w:rPr>
              <w:t>&lt;20</w:t>
            </w:r>
          </w:p>
        </w:tc>
        <w:tc>
          <w:tcPr>
            <w:tcW w:w="1134" w:type="dxa"/>
            <w:hideMark/>
          </w:tcPr>
          <w:p w14:paraId="4C0D39DE"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21</w:t>
            </w:r>
          </w:p>
        </w:tc>
        <w:tc>
          <w:tcPr>
            <w:tcW w:w="1417" w:type="dxa"/>
            <w:hideMark/>
          </w:tcPr>
          <w:p w14:paraId="3271E55C"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3.1</w:t>
            </w:r>
          </w:p>
        </w:tc>
        <w:tc>
          <w:tcPr>
            <w:tcW w:w="1031" w:type="dxa"/>
            <w:hideMark/>
          </w:tcPr>
          <w:p w14:paraId="5678C533"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15</w:t>
            </w:r>
          </w:p>
        </w:tc>
        <w:tc>
          <w:tcPr>
            <w:tcW w:w="1582" w:type="dxa"/>
            <w:hideMark/>
          </w:tcPr>
          <w:p w14:paraId="72321A01"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71.4</w:t>
            </w:r>
          </w:p>
        </w:tc>
        <w:tc>
          <w:tcPr>
            <w:tcW w:w="1296" w:type="dxa"/>
            <w:hideMark/>
          </w:tcPr>
          <w:p w14:paraId="071C8876"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2</w:t>
            </w:r>
          </w:p>
        </w:tc>
        <w:tc>
          <w:tcPr>
            <w:tcW w:w="1727" w:type="dxa"/>
            <w:hideMark/>
          </w:tcPr>
          <w:p w14:paraId="6CABC026"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13.3</w:t>
            </w:r>
          </w:p>
        </w:tc>
        <w:tc>
          <w:tcPr>
            <w:tcW w:w="1727" w:type="dxa"/>
            <w:hideMark/>
          </w:tcPr>
          <w:p w14:paraId="13F7753B"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9.5</w:t>
            </w:r>
          </w:p>
        </w:tc>
        <w:tc>
          <w:tcPr>
            <w:tcW w:w="2013" w:type="dxa"/>
            <w:hideMark/>
          </w:tcPr>
          <w:p w14:paraId="175922FD"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10.0</w:t>
            </w:r>
          </w:p>
        </w:tc>
        <w:tc>
          <w:tcPr>
            <w:tcW w:w="1871" w:type="dxa"/>
            <w:hideMark/>
          </w:tcPr>
          <w:p w14:paraId="51A0137C"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3.3</w:t>
            </w:r>
          </w:p>
        </w:tc>
      </w:tr>
      <w:tr w:rsidR="005A5A9F" w:rsidRPr="00AC33F3" w14:paraId="79D6EE2F" w14:textId="77777777" w:rsidTr="00050E6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88" w:type="dxa"/>
            <w:hideMark/>
          </w:tcPr>
          <w:p w14:paraId="1113FD9B" w14:textId="77777777" w:rsidR="00AC33F3" w:rsidRPr="005A5A9F" w:rsidRDefault="00AC33F3" w:rsidP="00AC33F3">
            <w:pPr>
              <w:spacing w:before="0" w:after="200" w:line="264" w:lineRule="auto"/>
              <w:rPr>
                <w:rFonts w:eastAsia="Calibri" w:cs="Times New Roman"/>
              </w:rPr>
            </w:pPr>
            <w:r w:rsidRPr="005A5A9F">
              <w:rPr>
                <w:rFonts w:eastAsia="Calibri" w:cs="Times New Roman"/>
              </w:rPr>
              <w:t>20-29</w:t>
            </w:r>
          </w:p>
        </w:tc>
        <w:tc>
          <w:tcPr>
            <w:tcW w:w="1134" w:type="dxa"/>
            <w:hideMark/>
          </w:tcPr>
          <w:p w14:paraId="46F4E492"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245</w:t>
            </w:r>
          </w:p>
        </w:tc>
        <w:tc>
          <w:tcPr>
            <w:tcW w:w="1417" w:type="dxa"/>
            <w:hideMark/>
          </w:tcPr>
          <w:p w14:paraId="3BF196E5"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36.4</w:t>
            </w:r>
          </w:p>
        </w:tc>
        <w:tc>
          <w:tcPr>
            <w:tcW w:w="1031" w:type="dxa"/>
            <w:hideMark/>
          </w:tcPr>
          <w:p w14:paraId="3E36B193"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94</w:t>
            </w:r>
          </w:p>
        </w:tc>
        <w:tc>
          <w:tcPr>
            <w:tcW w:w="1582" w:type="dxa"/>
            <w:hideMark/>
          </w:tcPr>
          <w:p w14:paraId="53471AD6"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38.4</w:t>
            </w:r>
          </w:p>
        </w:tc>
        <w:tc>
          <w:tcPr>
            <w:tcW w:w="1296" w:type="dxa"/>
            <w:hideMark/>
          </w:tcPr>
          <w:p w14:paraId="69DD53B0"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24</w:t>
            </w:r>
          </w:p>
        </w:tc>
        <w:tc>
          <w:tcPr>
            <w:tcW w:w="1727" w:type="dxa"/>
            <w:hideMark/>
          </w:tcPr>
          <w:p w14:paraId="6AE07FDF"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25.5</w:t>
            </w:r>
          </w:p>
        </w:tc>
        <w:tc>
          <w:tcPr>
            <w:tcW w:w="1727" w:type="dxa"/>
            <w:hideMark/>
          </w:tcPr>
          <w:p w14:paraId="41966E4B"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9.8</w:t>
            </w:r>
          </w:p>
        </w:tc>
        <w:tc>
          <w:tcPr>
            <w:tcW w:w="2013" w:type="dxa"/>
            <w:hideMark/>
          </w:tcPr>
          <w:p w14:paraId="43121CD2"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4.3</w:t>
            </w:r>
          </w:p>
        </w:tc>
        <w:tc>
          <w:tcPr>
            <w:tcW w:w="1871" w:type="dxa"/>
            <w:hideMark/>
          </w:tcPr>
          <w:p w14:paraId="28E87B82"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39.3</w:t>
            </w:r>
          </w:p>
        </w:tc>
      </w:tr>
      <w:tr w:rsidR="005A5A9F" w:rsidRPr="00AC33F3" w14:paraId="156A751E" w14:textId="77777777" w:rsidTr="00050E6E">
        <w:trPr>
          <w:trHeight w:val="298"/>
        </w:trPr>
        <w:tc>
          <w:tcPr>
            <w:cnfStyle w:val="001000000000" w:firstRow="0" w:lastRow="0" w:firstColumn="1" w:lastColumn="0" w:oddVBand="0" w:evenVBand="0" w:oddHBand="0" w:evenHBand="0" w:firstRowFirstColumn="0" w:firstRowLastColumn="0" w:lastRowFirstColumn="0" w:lastRowLastColumn="0"/>
            <w:tcW w:w="988" w:type="dxa"/>
            <w:hideMark/>
          </w:tcPr>
          <w:p w14:paraId="457C779C" w14:textId="77777777" w:rsidR="00AC33F3" w:rsidRPr="005A5A9F" w:rsidRDefault="00AC33F3" w:rsidP="00AC33F3">
            <w:pPr>
              <w:spacing w:before="0" w:after="200" w:line="264" w:lineRule="auto"/>
              <w:rPr>
                <w:rFonts w:eastAsia="Calibri" w:cs="Times New Roman"/>
              </w:rPr>
            </w:pPr>
            <w:r w:rsidRPr="005A5A9F">
              <w:rPr>
                <w:rFonts w:eastAsia="Calibri" w:cs="Times New Roman"/>
              </w:rPr>
              <w:t>30-39</w:t>
            </w:r>
          </w:p>
        </w:tc>
        <w:tc>
          <w:tcPr>
            <w:tcW w:w="1134" w:type="dxa"/>
            <w:hideMark/>
          </w:tcPr>
          <w:p w14:paraId="5305834C"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214</w:t>
            </w:r>
          </w:p>
        </w:tc>
        <w:tc>
          <w:tcPr>
            <w:tcW w:w="1417" w:type="dxa"/>
            <w:hideMark/>
          </w:tcPr>
          <w:p w14:paraId="158ADC78"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31.8</w:t>
            </w:r>
          </w:p>
        </w:tc>
        <w:tc>
          <w:tcPr>
            <w:tcW w:w="1031" w:type="dxa"/>
            <w:hideMark/>
          </w:tcPr>
          <w:p w14:paraId="0B38A39D"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82</w:t>
            </w:r>
          </w:p>
        </w:tc>
        <w:tc>
          <w:tcPr>
            <w:tcW w:w="1582" w:type="dxa"/>
            <w:hideMark/>
          </w:tcPr>
          <w:p w14:paraId="16E98478"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38.3</w:t>
            </w:r>
          </w:p>
        </w:tc>
        <w:tc>
          <w:tcPr>
            <w:tcW w:w="1296" w:type="dxa"/>
            <w:hideMark/>
          </w:tcPr>
          <w:p w14:paraId="178BBF8C"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17</w:t>
            </w:r>
          </w:p>
        </w:tc>
        <w:tc>
          <w:tcPr>
            <w:tcW w:w="1727" w:type="dxa"/>
            <w:hideMark/>
          </w:tcPr>
          <w:p w14:paraId="67400A11"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20.7</w:t>
            </w:r>
          </w:p>
        </w:tc>
        <w:tc>
          <w:tcPr>
            <w:tcW w:w="1727" w:type="dxa"/>
            <w:hideMark/>
          </w:tcPr>
          <w:p w14:paraId="1ECF0E76"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7.9</w:t>
            </w:r>
          </w:p>
        </w:tc>
        <w:tc>
          <w:tcPr>
            <w:tcW w:w="2013" w:type="dxa"/>
            <w:hideMark/>
          </w:tcPr>
          <w:p w14:paraId="086A8802"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5.7</w:t>
            </w:r>
          </w:p>
        </w:tc>
        <w:tc>
          <w:tcPr>
            <w:tcW w:w="1871" w:type="dxa"/>
            <w:hideMark/>
          </w:tcPr>
          <w:p w14:paraId="79F05E9C"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27.9</w:t>
            </w:r>
          </w:p>
        </w:tc>
      </w:tr>
      <w:tr w:rsidR="005A5A9F" w:rsidRPr="00AC33F3" w14:paraId="002EC6B9" w14:textId="77777777" w:rsidTr="00050E6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88" w:type="dxa"/>
            <w:hideMark/>
          </w:tcPr>
          <w:p w14:paraId="301BCFD9" w14:textId="77777777" w:rsidR="00AC33F3" w:rsidRPr="005A5A9F" w:rsidRDefault="00AC33F3" w:rsidP="00AC33F3">
            <w:pPr>
              <w:spacing w:before="0" w:after="200" w:line="264" w:lineRule="auto"/>
              <w:rPr>
                <w:rFonts w:eastAsia="Calibri" w:cs="Times New Roman"/>
              </w:rPr>
            </w:pPr>
            <w:r w:rsidRPr="005A5A9F">
              <w:rPr>
                <w:rFonts w:eastAsia="Calibri" w:cs="Times New Roman"/>
              </w:rPr>
              <w:t>40-49</w:t>
            </w:r>
          </w:p>
        </w:tc>
        <w:tc>
          <w:tcPr>
            <w:tcW w:w="1134" w:type="dxa"/>
            <w:hideMark/>
          </w:tcPr>
          <w:p w14:paraId="36018A67"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123</w:t>
            </w:r>
          </w:p>
        </w:tc>
        <w:tc>
          <w:tcPr>
            <w:tcW w:w="1417" w:type="dxa"/>
            <w:hideMark/>
          </w:tcPr>
          <w:p w14:paraId="742771B3"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18.3</w:t>
            </w:r>
          </w:p>
        </w:tc>
        <w:tc>
          <w:tcPr>
            <w:tcW w:w="1031" w:type="dxa"/>
            <w:hideMark/>
          </w:tcPr>
          <w:p w14:paraId="2841C987"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45</w:t>
            </w:r>
          </w:p>
        </w:tc>
        <w:tc>
          <w:tcPr>
            <w:tcW w:w="1582" w:type="dxa"/>
            <w:hideMark/>
          </w:tcPr>
          <w:p w14:paraId="7EDD104A"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36.6</w:t>
            </w:r>
          </w:p>
        </w:tc>
        <w:tc>
          <w:tcPr>
            <w:tcW w:w="1296" w:type="dxa"/>
            <w:hideMark/>
          </w:tcPr>
          <w:p w14:paraId="01C6D555"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7</w:t>
            </w:r>
          </w:p>
        </w:tc>
        <w:tc>
          <w:tcPr>
            <w:tcW w:w="1727" w:type="dxa"/>
            <w:hideMark/>
          </w:tcPr>
          <w:p w14:paraId="43F2C777"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15.6</w:t>
            </w:r>
          </w:p>
        </w:tc>
        <w:tc>
          <w:tcPr>
            <w:tcW w:w="1727" w:type="dxa"/>
            <w:hideMark/>
          </w:tcPr>
          <w:p w14:paraId="53DAF2CE"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5.7</w:t>
            </w:r>
          </w:p>
        </w:tc>
        <w:tc>
          <w:tcPr>
            <w:tcW w:w="2013" w:type="dxa"/>
            <w:hideMark/>
          </w:tcPr>
          <w:p w14:paraId="11A199C3"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3.0</w:t>
            </w:r>
          </w:p>
        </w:tc>
        <w:tc>
          <w:tcPr>
            <w:tcW w:w="1871" w:type="dxa"/>
            <w:hideMark/>
          </w:tcPr>
          <w:p w14:paraId="7F9487E8"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11.5</w:t>
            </w:r>
          </w:p>
        </w:tc>
      </w:tr>
      <w:tr w:rsidR="005A5A9F" w:rsidRPr="00AC33F3" w14:paraId="2A1B2841" w14:textId="77777777" w:rsidTr="00050E6E">
        <w:trPr>
          <w:trHeight w:val="298"/>
        </w:trPr>
        <w:tc>
          <w:tcPr>
            <w:cnfStyle w:val="001000000000" w:firstRow="0" w:lastRow="0" w:firstColumn="1" w:lastColumn="0" w:oddVBand="0" w:evenVBand="0" w:oddHBand="0" w:evenHBand="0" w:firstRowFirstColumn="0" w:firstRowLastColumn="0" w:lastRowFirstColumn="0" w:lastRowLastColumn="0"/>
            <w:tcW w:w="988" w:type="dxa"/>
            <w:hideMark/>
          </w:tcPr>
          <w:p w14:paraId="1D8A4901" w14:textId="77777777" w:rsidR="00AC33F3" w:rsidRPr="005A5A9F" w:rsidRDefault="00AC33F3" w:rsidP="00AC33F3">
            <w:pPr>
              <w:spacing w:before="0" w:after="200" w:line="264" w:lineRule="auto"/>
              <w:rPr>
                <w:rFonts w:eastAsia="Calibri" w:cs="Times New Roman"/>
              </w:rPr>
            </w:pPr>
            <w:r w:rsidRPr="005A5A9F">
              <w:rPr>
                <w:rFonts w:eastAsia="Calibri" w:cs="Times New Roman"/>
              </w:rPr>
              <w:t>50-59</w:t>
            </w:r>
          </w:p>
        </w:tc>
        <w:tc>
          <w:tcPr>
            <w:tcW w:w="1134" w:type="dxa"/>
            <w:hideMark/>
          </w:tcPr>
          <w:p w14:paraId="5D1F5BC4"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48</w:t>
            </w:r>
          </w:p>
        </w:tc>
        <w:tc>
          <w:tcPr>
            <w:tcW w:w="1417" w:type="dxa"/>
            <w:hideMark/>
          </w:tcPr>
          <w:p w14:paraId="17106378"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7.1</w:t>
            </w:r>
          </w:p>
        </w:tc>
        <w:tc>
          <w:tcPr>
            <w:tcW w:w="1031" w:type="dxa"/>
            <w:hideMark/>
          </w:tcPr>
          <w:p w14:paraId="6AC4B055"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20</w:t>
            </w:r>
          </w:p>
        </w:tc>
        <w:tc>
          <w:tcPr>
            <w:tcW w:w="1582" w:type="dxa"/>
            <w:hideMark/>
          </w:tcPr>
          <w:p w14:paraId="16ADA07F"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41.7</w:t>
            </w:r>
          </w:p>
        </w:tc>
        <w:tc>
          <w:tcPr>
            <w:tcW w:w="1296" w:type="dxa"/>
            <w:hideMark/>
          </w:tcPr>
          <w:p w14:paraId="1DF2E61B"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8</w:t>
            </w:r>
          </w:p>
        </w:tc>
        <w:tc>
          <w:tcPr>
            <w:tcW w:w="1727" w:type="dxa"/>
            <w:hideMark/>
          </w:tcPr>
          <w:p w14:paraId="0A72559B"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40.0</w:t>
            </w:r>
          </w:p>
        </w:tc>
        <w:tc>
          <w:tcPr>
            <w:tcW w:w="1727" w:type="dxa"/>
            <w:hideMark/>
          </w:tcPr>
          <w:p w14:paraId="5F4ACCD6"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16.7</w:t>
            </w:r>
          </w:p>
        </w:tc>
        <w:tc>
          <w:tcPr>
            <w:tcW w:w="2013" w:type="dxa"/>
            <w:hideMark/>
          </w:tcPr>
          <w:p w14:paraId="53A10A0E"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7.1</w:t>
            </w:r>
          </w:p>
        </w:tc>
        <w:tc>
          <w:tcPr>
            <w:tcW w:w="1871" w:type="dxa"/>
            <w:hideMark/>
          </w:tcPr>
          <w:p w14:paraId="640B8C88"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13.1</w:t>
            </w:r>
          </w:p>
        </w:tc>
      </w:tr>
      <w:tr w:rsidR="005A5A9F" w:rsidRPr="00AC33F3" w14:paraId="5F7D9B41" w14:textId="77777777" w:rsidTr="00050E6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88" w:type="dxa"/>
            <w:hideMark/>
          </w:tcPr>
          <w:p w14:paraId="6EE42033" w14:textId="77777777" w:rsidR="00AC33F3" w:rsidRPr="005A5A9F" w:rsidRDefault="00AC33F3" w:rsidP="00AC33F3">
            <w:pPr>
              <w:spacing w:before="0" w:after="200" w:line="264" w:lineRule="auto"/>
              <w:rPr>
                <w:rFonts w:eastAsia="Calibri" w:cs="Times New Roman"/>
              </w:rPr>
            </w:pPr>
            <w:r w:rsidRPr="005A5A9F">
              <w:rPr>
                <w:rFonts w:eastAsia="Calibri" w:cs="Times New Roman"/>
              </w:rPr>
              <w:t>60&gt;</w:t>
            </w:r>
          </w:p>
        </w:tc>
        <w:tc>
          <w:tcPr>
            <w:tcW w:w="1134" w:type="dxa"/>
            <w:hideMark/>
          </w:tcPr>
          <w:p w14:paraId="40B43585"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7</w:t>
            </w:r>
          </w:p>
        </w:tc>
        <w:tc>
          <w:tcPr>
            <w:tcW w:w="1417" w:type="dxa"/>
            <w:hideMark/>
          </w:tcPr>
          <w:p w14:paraId="5C7605DB"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1.0</w:t>
            </w:r>
          </w:p>
        </w:tc>
        <w:tc>
          <w:tcPr>
            <w:tcW w:w="1031" w:type="dxa"/>
            <w:hideMark/>
          </w:tcPr>
          <w:p w14:paraId="36CB9AE5"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2</w:t>
            </w:r>
          </w:p>
        </w:tc>
        <w:tc>
          <w:tcPr>
            <w:tcW w:w="1582" w:type="dxa"/>
            <w:hideMark/>
          </w:tcPr>
          <w:p w14:paraId="3C021217"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28.6</w:t>
            </w:r>
          </w:p>
        </w:tc>
        <w:tc>
          <w:tcPr>
            <w:tcW w:w="1296" w:type="dxa"/>
            <w:hideMark/>
          </w:tcPr>
          <w:p w14:paraId="367CE076"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w:t>
            </w:r>
          </w:p>
        </w:tc>
        <w:tc>
          <w:tcPr>
            <w:tcW w:w="1727" w:type="dxa"/>
            <w:hideMark/>
          </w:tcPr>
          <w:p w14:paraId="6FBBDC1E"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50.0</w:t>
            </w:r>
          </w:p>
        </w:tc>
        <w:tc>
          <w:tcPr>
            <w:tcW w:w="1727" w:type="dxa"/>
            <w:hideMark/>
          </w:tcPr>
          <w:p w14:paraId="14F84F28"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14.3</w:t>
            </w:r>
          </w:p>
        </w:tc>
        <w:tc>
          <w:tcPr>
            <w:tcW w:w="2013" w:type="dxa"/>
            <w:hideMark/>
          </w:tcPr>
          <w:p w14:paraId="15016682"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0.0</w:t>
            </w:r>
          </w:p>
        </w:tc>
        <w:tc>
          <w:tcPr>
            <w:tcW w:w="1871" w:type="dxa"/>
            <w:hideMark/>
          </w:tcPr>
          <w:p w14:paraId="71C64CCF"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1.6</w:t>
            </w:r>
          </w:p>
        </w:tc>
      </w:tr>
      <w:tr w:rsidR="005A5A9F" w:rsidRPr="00AC33F3" w14:paraId="7160293A" w14:textId="77777777" w:rsidTr="00050E6E">
        <w:trPr>
          <w:trHeight w:val="298"/>
        </w:trPr>
        <w:tc>
          <w:tcPr>
            <w:cnfStyle w:val="001000000000" w:firstRow="0" w:lastRow="0" w:firstColumn="1" w:lastColumn="0" w:oddVBand="0" w:evenVBand="0" w:oddHBand="0" w:evenHBand="0" w:firstRowFirstColumn="0" w:firstRowLastColumn="0" w:lastRowFirstColumn="0" w:lastRowLastColumn="0"/>
            <w:tcW w:w="988" w:type="dxa"/>
            <w:hideMark/>
          </w:tcPr>
          <w:p w14:paraId="70BA08C4" w14:textId="77777777" w:rsidR="00AC33F3" w:rsidRPr="005A5A9F" w:rsidRDefault="00AC33F3" w:rsidP="00AC33F3">
            <w:pPr>
              <w:spacing w:before="0" w:after="200" w:line="264" w:lineRule="auto"/>
              <w:rPr>
                <w:rFonts w:eastAsia="Calibri" w:cs="Times New Roman"/>
              </w:rPr>
            </w:pPr>
            <w:r w:rsidRPr="005A5A9F">
              <w:rPr>
                <w:rFonts w:eastAsia="Calibri" w:cs="Times New Roman"/>
              </w:rPr>
              <w:t>Prefer not to say</w:t>
            </w:r>
          </w:p>
        </w:tc>
        <w:tc>
          <w:tcPr>
            <w:tcW w:w="1134" w:type="dxa"/>
            <w:hideMark/>
          </w:tcPr>
          <w:p w14:paraId="2BEF4695"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8</w:t>
            </w:r>
          </w:p>
        </w:tc>
        <w:tc>
          <w:tcPr>
            <w:tcW w:w="1417" w:type="dxa"/>
            <w:hideMark/>
          </w:tcPr>
          <w:p w14:paraId="157393E1"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1.2</w:t>
            </w:r>
          </w:p>
        </w:tc>
        <w:tc>
          <w:tcPr>
            <w:tcW w:w="1031" w:type="dxa"/>
            <w:hideMark/>
          </w:tcPr>
          <w:p w14:paraId="0DFCD8BC"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4</w:t>
            </w:r>
          </w:p>
        </w:tc>
        <w:tc>
          <w:tcPr>
            <w:tcW w:w="1582" w:type="dxa"/>
            <w:hideMark/>
          </w:tcPr>
          <w:p w14:paraId="38136E67"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50.0</w:t>
            </w:r>
          </w:p>
        </w:tc>
        <w:tc>
          <w:tcPr>
            <w:tcW w:w="1296" w:type="dxa"/>
            <w:hideMark/>
          </w:tcPr>
          <w:p w14:paraId="5C7F318B"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2</w:t>
            </w:r>
          </w:p>
        </w:tc>
        <w:tc>
          <w:tcPr>
            <w:tcW w:w="1727" w:type="dxa"/>
            <w:hideMark/>
          </w:tcPr>
          <w:p w14:paraId="169C9051"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50.0</w:t>
            </w:r>
          </w:p>
        </w:tc>
        <w:tc>
          <w:tcPr>
            <w:tcW w:w="1727" w:type="dxa"/>
            <w:hideMark/>
          </w:tcPr>
          <w:p w14:paraId="0F593FB5"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25.0</w:t>
            </w:r>
          </w:p>
        </w:tc>
        <w:tc>
          <w:tcPr>
            <w:tcW w:w="2013" w:type="dxa"/>
            <w:hideMark/>
          </w:tcPr>
          <w:p w14:paraId="6DEDB2C8"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_</w:t>
            </w:r>
          </w:p>
        </w:tc>
        <w:tc>
          <w:tcPr>
            <w:tcW w:w="1871" w:type="dxa"/>
            <w:hideMark/>
          </w:tcPr>
          <w:p w14:paraId="52F08D0E"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3.3</w:t>
            </w:r>
          </w:p>
        </w:tc>
      </w:tr>
      <w:tr w:rsidR="005A5A9F" w:rsidRPr="00AC33F3" w14:paraId="343E1D23" w14:textId="77777777" w:rsidTr="00050E6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88" w:type="dxa"/>
            <w:hideMark/>
          </w:tcPr>
          <w:p w14:paraId="111A796E" w14:textId="77777777" w:rsidR="00AC33F3" w:rsidRPr="005A5A9F" w:rsidRDefault="00AC33F3" w:rsidP="00AC33F3">
            <w:pPr>
              <w:spacing w:before="0" w:after="200" w:line="264" w:lineRule="auto"/>
              <w:rPr>
                <w:rFonts w:eastAsia="Calibri" w:cs="Times New Roman"/>
              </w:rPr>
            </w:pPr>
            <w:r w:rsidRPr="005A5A9F">
              <w:rPr>
                <w:rFonts w:eastAsia="Calibri" w:cs="Times New Roman"/>
              </w:rPr>
              <w:t>No reply</w:t>
            </w:r>
          </w:p>
        </w:tc>
        <w:tc>
          <w:tcPr>
            <w:tcW w:w="1134" w:type="dxa"/>
            <w:hideMark/>
          </w:tcPr>
          <w:p w14:paraId="3FB11F0B"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7</w:t>
            </w:r>
          </w:p>
        </w:tc>
        <w:tc>
          <w:tcPr>
            <w:tcW w:w="1417" w:type="dxa"/>
            <w:hideMark/>
          </w:tcPr>
          <w:p w14:paraId="0900B7AD"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1.0</w:t>
            </w:r>
          </w:p>
        </w:tc>
        <w:tc>
          <w:tcPr>
            <w:tcW w:w="1031" w:type="dxa"/>
            <w:hideMark/>
          </w:tcPr>
          <w:p w14:paraId="7B9310AE"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3</w:t>
            </w:r>
          </w:p>
        </w:tc>
        <w:tc>
          <w:tcPr>
            <w:tcW w:w="1582" w:type="dxa"/>
            <w:hideMark/>
          </w:tcPr>
          <w:p w14:paraId="53F3E330"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42.9</w:t>
            </w:r>
          </w:p>
        </w:tc>
        <w:tc>
          <w:tcPr>
            <w:tcW w:w="1296" w:type="dxa"/>
            <w:hideMark/>
          </w:tcPr>
          <w:p w14:paraId="4E5F8B91"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0</w:t>
            </w:r>
          </w:p>
        </w:tc>
        <w:tc>
          <w:tcPr>
            <w:tcW w:w="1727" w:type="dxa"/>
            <w:hideMark/>
          </w:tcPr>
          <w:p w14:paraId="427A1F6E"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0.0</w:t>
            </w:r>
          </w:p>
        </w:tc>
        <w:tc>
          <w:tcPr>
            <w:tcW w:w="1727" w:type="dxa"/>
            <w:hideMark/>
          </w:tcPr>
          <w:p w14:paraId="62148C0F"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0.0</w:t>
            </w:r>
          </w:p>
        </w:tc>
        <w:tc>
          <w:tcPr>
            <w:tcW w:w="2013" w:type="dxa"/>
            <w:hideMark/>
          </w:tcPr>
          <w:p w14:paraId="494E1821"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8.2</w:t>
            </w:r>
          </w:p>
        </w:tc>
        <w:tc>
          <w:tcPr>
            <w:tcW w:w="1871" w:type="dxa"/>
            <w:hideMark/>
          </w:tcPr>
          <w:p w14:paraId="54008D6B" w14:textId="77777777" w:rsidR="00AC33F3" w:rsidRPr="00AC33F3"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AC33F3">
              <w:rPr>
                <w:rFonts w:eastAsia="Calibri" w:cs="Times New Roman"/>
                <w:color w:val="000000"/>
              </w:rPr>
              <w:t>0.0</w:t>
            </w:r>
          </w:p>
        </w:tc>
      </w:tr>
      <w:tr w:rsidR="005A5A9F" w:rsidRPr="00AC33F3" w14:paraId="69EF3FFD" w14:textId="77777777" w:rsidTr="00050E6E">
        <w:trPr>
          <w:trHeight w:val="298"/>
        </w:trPr>
        <w:tc>
          <w:tcPr>
            <w:cnfStyle w:val="001000000000" w:firstRow="0" w:lastRow="0" w:firstColumn="1" w:lastColumn="0" w:oddVBand="0" w:evenVBand="0" w:oddHBand="0" w:evenHBand="0" w:firstRowFirstColumn="0" w:firstRowLastColumn="0" w:lastRowFirstColumn="0" w:lastRowLastColumn="0"/>
            <w:tcW w:w="988" w:type="dxa"/>
            <w:hideMark/>
          </w:tcPr>
          <w:p w14:paraId="4DF08455" w14:textId="77777777" w:rsidR="00AC33F3" w:rsidRPr="005A5A9F" w:rsidRDefault="00AC33F3" w:rsidP="00AC33F3">
            <w:pPr>
              <w:spacing w:before="0" w:after="200" w:line="264" w:lineRule="auto"/>
              <w:rPr>
                <w:rFonts w:eastAsia="Calibri" w:cs="Times New Roman"/>
              </w:rPr>
            </w:pPr>
            <w:r w:rsidRPr="005A5A9F">
              <w:rPr>
                <w:rFonts w:eastAsia="Calibri" w:cs="Times New Roman"/>
              </w:rPr>
              <w:t>Total</w:t>
            </w:r>
          </w:p>
        </w:tc>
        <w:tc>
          <w:tcPr>
            <w:tcW w:w="1134" w:type="dxa"/>
            <w:hideMark/>
          </w:tcPr>
          <w:p w14:paraId="1F1188B2"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673</w:t>
            </w:r>
          </w:p>
        </w:tc>
        <w:tc>
          <w:tcPr>
            <w:tcW w:w="1417" w:type="dxa"/>
            <w:hideMark/>
          </w:tcPr>
          <w:p w14:paraId="7EB5EA01"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100</w:t>
            </w:r>
          </w:p>
        </w:tc>
        <w:tc>
          <w:tcPr>
            <w:tcW w:w="1031" w:type="dxa"/>
            <w:hideMark/>
          </w:tcPr>
          <w:p w14:paraId="23DF244C"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265</w:t>
            </w:r>
          </w:p>
        </w:tc>
        <w:tc>
          <w:tcPr>
            <w:tcW w:w="1582" w:type="dxa"/>
            <w:hideMark/>
          </w:tcPr>
          <w:p w14:paraId="42803BDF"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39.4</w:t>
            </w:r>
          </w:p>
        </w:tc>
        <w:tc>
          <w:tcPr>
            <w:tcW w:w="1296" w:type="dxa"/>
            <w:hideMark/>
          </w:tcPr>
          <w:p w14:paraId="4C859FB2"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61</w:t>
            </w:r>
          </w:p>
        </w:tc>
        <w:tc>
          <w:tcPr>
            <w:tcW w:w="1727" w:type="dxa"/>
            <w:hideMark/>
          </w:tcPr>
          <w:p w14:paraId="3D4C46A8"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23.0</w:t>
            </w:r>
          </w:p>
        </w:tc>
        <w:tc>
          <w:tcPr>
            <w:tcW w:w="1727" w:type="dxa"/>
            <w:hideMark/>
          </w:tcPr>
          <w:p w14:paraId="323F7073"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9.1</w:t>
            </w:r>
          </w:p>
        </w:tc>
        <w:tc>
          <w:tcPr>
            <w:tcW w:w="2013" w:type="dxa"/>
            <w:hideMark/>
          </w:tcPr>
          <w:p w14:paraId="46C9C850"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4.8</w:t>
            </w:r>
          </w:p>
        </w:tc>
        <w:tc>
          <w:tcPr>
            <w:tcW w:w="1871" w:type="dxa"/>
            <w:hideMark/>
          </w:tcPr>
          <w:p w14:paraId="46168B6A" w14:textId="77777777" w:rsidR="00AC33F3" w:rsidRPr="00AC33F3"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AC33F3">
              <w:rPr>
                <w:rFonts w:eastAsia="Calibri" w:cs="Times New Roman"/>
                <w:color w:val="000000"/>
              </w:rPr>
              <w:t>100.0</w:t>
            </w:r>
          </w:p>
        </w:tc>
      </w:tr>
    </w:tbl>
    <w:p w14:paraId="285BE59C" w14:textId="77777777" w:rsidR="00AC33F3" w:rsidRDefault="00AC33F3" w:rsidP="00AC33F3"/>
    <w:p w14:paraId="1632C6C6" w14:textId="39333E3F" w:rsidR="00AC33F3" w:rsidRDefault="00AC33F3" w:rsidP="005A5A9F">
      <w:pPr>
        <w:spacing w:before="0" w:after="160" w:line="259" w:lineRule="auto"/>
      </w:pPr>
      <w:r>
        <w:br w:type="page"/>
      </w:r>
      <w:r w:rsidR="006301C6">
        <w:lastRenderedPageBreak/>
        <w:t>Analysis:</w:t>
      </w:r>
    </w:p>
    <w:p w14:paraId="35004C35" w14:textId="37D5F807" w:rsidR="00AC33F3" w:rsidRDefault="00AC33F3" w:rsidP="00AC33F3">
      <w:pPr>
        <w:pStyle w:val="4Bulletlist"/>
      </w:pPr>
      <w:r>
        <w:t>These statistics include the latest intake of apprentices;</w:t>
      </w:r>
    </w:p>
    <w:p w14:paraId="67786285" w14:textId="52AF31F3" w:rsidR="00AC33F3" w:rsidRDefault="00AC33F3" w:rsidP="00AC33F3">
      <w:pPr>
        <w:pStyle w:val="4Bulletlist"/>
      </w:pPr>
      <w:r>
        <w:t>No replies have dropped from 10.2% in 2014-20.15 and 5.6% in 2015-2016 to 1.0% in 2016-2017, showing an increase in reporting rates; and</w:t>
      </w:r>
    </w:p>
    <w:p w14:paraId="0AAFF31D" w14:textId="4FD227AA" w:rsidR="00AC33F3" w:rsidRDefault="00AC33F3" w:rsidP="00AC33F3">
      <w:pPr>
        <w:pStyle w:val="4Bulletlist"/>
      </w:pPr>
      <w:r>
        <w:t>The most applications are again from 20-39 year olds. The number of people aged over 50 offered employment increased from three in 2015-2016 to nine in 2016-2017. Although the number is small the success rate for people aged over 50 is significantly higher at 40% for those aged 50-59 and 50% for those aged 60 and over. 14.8% of total job offers went to people aged over 50. This is still below the Census 2011 Travel to Work data that states that 23.9% of economically active people in the TTWA are 50-64.</w:t>
      </w:r>
    </w:p>
    <w:p w14:paraId="4C48856A" w14:textId="77777777" w:rsidR="00AC33F3" w:rsidRDefault="00AC33F3">
      <w:pPr>
        <w:spacing w:before="0" w:after="160" w:line="259" w:lineRule="auto"/>
        <w:rPr>
          <w:rFonts w:eastAsia="Lucida Sans" w:cs="Times New Roman"/>
          <w:color w:val="414042"/>
          <w:kern w:val="24"/>
        </w:rPr>
      </w:pPr>
      <w:r>
        <w:br w:type="page"/>
      </w:r>
    </w:p>
    <w:p w14:paraId="3508E92F" w14:textId="59BC2909" w:rsidR="00AC33F3" w:rsidRDefault="00AC33F3" w:rsidP="00AC33F3">
      <w:pPr>
        <w:pStyle w:val="2Sub-headings"/>
      </w:pPr>
      <w:r>
        <w:lastRenderedPageBreak/>
        <w:t>Disability</w:t>
      </w:r>
    </w:p>
    <w:p w14:paraId="7904BB34" w14:textId="4B677C28" w:rsidR="006301C6" w:rsidRDefault="006301C6" w:rsidP="006301C6">
      <w:pPr>
        <w:pStyle w:val="Caption"/>
        <w:keepNext/>
      </w:pPr>
      <w:r>
        <w:t xml:space="preserve">Table </w:t>
      </w:r>
      <w:fldSimple w:instr=" SEQ Table \* ARABIC ">
        <w:r w:rsidR="00332158">
          <w:rPr>
            <w:noProof/>
          </w:rPr>
          <w:t>4</w:t>
        </w:r>
      </w:fldSimple>
      <w:r>
        <w:t xml:space="preserve">: </w:t>
      </w:r>
      <w:r w:rsidRPr="001111C3">
        <w:t>Workforce Disability Profile</w:t>
      </w:r>
    </w:p>
    <w:tbl>
      <w:tblPr>
        <w:tblStyle w:val="GridTable4-Accent4"/>
        <w:tblW w:w="5000" w:type="pct"/>
        <w:tblLook w:val="04A0" w:firstRow="1" w:lastRow="0" w:firstColumn="1" w:lastColumn="0" w:noHBand="0" w:noVBand="1"/>
      </w:tblPr>
      <w:tblGrid>
        <w:gridCol w:w="1497"/>
        <w:gridCol w:w="1630"/>
        <w:gridCol w:w="1629"/>
        <w:gridCol w:w="964"/>
        <w:gridCol w:w="1629"/>
        <w:gridCol w:w="1278"/>
        <w:gridCol w:w="1931"/>
        <w:gridCol w:w="1144"/>
        <w:gridCol w:w="3084"/>
      </w:tblGrid>
      <w:tr w:rsidR="00AC33F3" w:rsidRPr="00184FD5" w14:paraId="2A3D46DF" w14:textId="77777777" w:rsidTr="00AC33F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06" w:type="pct"/>
            <w:hideMark/>
          </w:tcPr>
          <w:p w14:paraId="053201AA" w14:textId="77777777" w:rsidR="00AC33F3" w:rsidRPr="00184FD5" w:rsidRDefault="00AC33F3" w:rsidP="00AC33F3">
            <w:pPr>
              <w:spacing w:before="0" w:after="200" w:line="264" w:lineRule="auto"/>
              <w:rPr>
                <w:rFonts w:eastAsia="Calibri" w:cs="Times New Roman"/>
              </w:rPr>
            </w:pPr>
            <w:r w:rsidRPr="00184FD5">
              <w:rPr>
                <w:rFonts w:eastAsia="Calibri" w:cs="Times New Roman"/>
              </w:rPr>
              <w:t>Grade</w:t>
            </w:r>
          </w:p>
        </w:tc>
        <w:tc>
          <w:tcPr>
            <w:tcW w:w="551" w:type="pct"/>
            <w:hideMark/>
          </w:tcPr>
          <w:p w14:paraId="6A7689A2"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184FD5">
              <w:rPr>
                <w:rFonts w:eastAsia="Calibri" w:cs="Times New Roman"/>
              </w:rPr>
              <w:t>Total staff</w:t>
            </w:r>
          </w:p>
        </w:tc>
        <w:tc>
          <w:tcPr>
            <w:tcW w:w="877" w:type="pct"/>
            <w:gridSpan w:val="2"/>
            <w:hideMark/>
          </w:tcPr>
          <w:p w14:paraId="608AF280"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184FD5">
              <w:rPr>
                <w:rFonts w:eastAsia="Calibri" w:cs="Times New Roman"/>
              </w:rPr>
              <w:t>Disabled staff</w:t>
            </w:r>
          </w:p>
        </w:tc>
        <w:tc>
          <w:tcPr>
            <w:tcW w:w="983" w:type="pct"/>
            <w:gridSpan w:val="2"/>
            <w:hideMark/>
          </w:tcPr>
          <w:p w14:paraId="4D8612DB"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184FD5">
              <w:rPr>
                <w:rFonts w:eastAsia="Calibri" w:cs="Times New Roman"/>
              </w:rPr>
              <w:t>Non-disabled staff</w:t>
            </w:r>
          </w:p>
        </w:tc>
        <w:tc>
          <w:tcPr>
            <w:tcW w:w="1040" w:type="pct"/>
            <w:gridSpan w:val="2"/>
            <w:hideMark/>
          </w:tcPr>
          <w:p w14:paraId="2B8E4D27"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184FD5">
              <w:rPr>
                <w:rFonts w:eastAsia="Calibri" w:cs="Times New Roman"/>
              </w:rPr>
              <w:t>Not Disclosed</w:t>
            </w:r>
          </w:p>
        </w:tc>
        <w:tc>
          <w:tcPr>
            <w:tcW w:w="1043" w:type="pct"/>
          </w:tcPr>
          <w:p w14:paraId="0D3292BC"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184FD5">
              <w:rPr>
                <w:rFonts w:eastAsia="Calibri" w:cs="Times New Roman"/>
              </w:rPr>
              <w:t>% disabled staff</w:t>
            </w:r>
          </w:p>
          <w:p w14:paraId="6833E74C"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p>
        </w:tc>
      </w:tr>
      <w:tr w:rsidR="00AC33F3" w:rsidRPr="00184FD5" w14:paraId="17FEB3CF" w14:textId="77777777" w:rsidTr="00AC33F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6" w:type="pct"/>
            <w:hideMark/>
          </w:tcPr>
          <w:p w14:paraId="0BD4A0F2"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 </w:t>
            </w:r>
          </w:p>
        </w:tc>
        <w:tc>
          <w:tcPr>
            <w:tcW w:w="551" w:type="pct"/>
            <w:hideMark/>
          </w:tcPr>
          <w:p w14:paraId="772F25C6"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number</w:t>
            </w:r>
          </w:p>
        </w:tc>
        <w:tc>
          <w:tcPr>
            <w:tcW w:w="551" w:type="pct"/>
            <w:hideMark/>
          </w:tcPr>
          <w:p w14:paraId="66C9102B"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number</w:t>
            </w:r>
          </w:p>
        </w:tc>
        <w:tc>
          <w:tcPr>
            <w:tcW w:w="326" w:type="pct"/>
            <w:hideMark/>
          </w:tcPr>
          <w:p w14:paraId="4A7E298C"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w:t>
            </w:r>
          </w:p>
        </w:tc>
        <w:tc>
          <w:tcPr>
            <w:tcW w:w="551" w:type="pct"/>
            <w:hideMark/>
          </w:tcPr>
          <w:p w14:paraId="650CB739"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 xml:space="preserve">number </w:t>
            </w:r>
          </w:p>
        </w:tc>
        <w:tc>
          <w:tcPr>
            <w:tcW w:w="432" w:type="pct"/>
            <w:hideMark/>
          </w:tcPr>
          <w:p w14:paraId="33DDFDF8"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w:t>
            </w:r>
          </w:p>
        </w:tc>
        <w:tc>
          <w:tcPr>
            <w:tcW w:w="653" w:type="pct"/>
            <w:hideMark/>
          </w:tcPr>
          <w:p w14:paraId="6664DB06"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 xml:space="preserve">number </w:t>
            </w:r>
          </w:p>
        </w:tc>
        <w:tc>
          <w:tcPr>
            <w:tcW w:w="387" w:type="pct"/>
            <w:hideMark/>
          </w:tcPr>
          <w:p w14:paraId="46335D68"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w:t>
            </w:r>
          </w:p>
        </w:tc>
        <w:tc>
          <w:tcPr>
            <w:tcW w:w="1043" w:type="pct"/>
            <w:hideMark/>
          </w:tcPr>
          <w:p w14:paraId="3B932BA9"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2017 / 2016</w:t>
            </w:r>
          </w:p>
        </w:tc>
      </w:tr>
      <w:tr w:rsidR="00AC33F3" w:rsidRPr="00184FD5" w14:paraId="4C3EAB71"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506" w:type="pct"/>
            <w:hideMark/>
          </w:tcPr>
          <w:p w14:paraId="2144D5A2"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TS *</w:t>
            </w:r>
          </w:p>
        </w:tc>
        <w:tc>
          <w:tcPr>
            <w:tcW w:w="551" w:type="pct"/>
            <w:hideMark/>
          </w:tcPr>
          <w:p w14:paraId="68C45BA0"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130</w:t>
            </w:r>
          </w:p>
        </w:tc>
        <w:tc>
          <w:tcPr>
            <w:tcW w:w="551" w:type="pct"/>
            <w:hideMark/>
          </w:tcPr>
          <w:p w14:paraId="4FFBF6AB"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10</w:t>
            </w:r>
          </w:p>
        </w:tc>
        <w:tc>
          <w:tcPr>
            <w:tcW w:w="326" w:type="pct"/>
            <w:hideMark/>
          </w:tcPr>
          <w:p w14:paraId="1032ED65"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7.7</w:t>
            </w:r>
          </w:p>
        </w:tc>
        <w:tc>
          <w:tcPr>
            <w:tcW w:w="551" w:type="pct"/>
            <w:hideMark/>
          </w:tcPr>
          <w:p w14:paraId="0CC9E50E"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109</w:t>
            </w:r>
          </w:p>
        </w:tc>
        <w:tc>
          <w:tcPr>
            <w:tcW w:w="432" w:type="pct"/>
            <w:hideMark/>
          </w:tcPr>
          <w:p w14:paraId="386507C1"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83.8</w:t>
            </w:r>
          </w:p>
        </w:tc>
        <w:tc>
          <w:tcPr>
            <w:tcW w:w="653" w:type="pct"/>
            <w:hideMark/>
          </w:tcPr>
          <w:p w14:paraId="16E73D66"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11</w:t>
            </w:r>
          </w:p>
        </w:tc>
        <w:tc>
          <w:tcPr>
            <w:tcW w:w="387" w:type="pct"/>
            <w:hideMark/>
          </w:tcPr>
          <w:p w14:paraId="402B3411"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8.5</w:t>
            </w:r>
          </w:p>
        </w:tc>
        <w:tc>
          <w:tcPr>
            <w:tcW w:w="1043" w:type="pct"/>
            <w:hideMark/>
          </w:tcPr>
          <w:p w14:paraId="54794AFD"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7.7 / 4.7</w:t>
            </w:r>
          </w:p>
        </w:tc>
      </w:tr>
      <w:tr w:rsidR="00AC33F3" w:rsidRPr="00184FD5" w14:paraId="66E8F30D"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hideMark/>
          </w:tcPr>
          <w:p w14:paraId="1B43FE98"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M3</w:t>
            </w:r>
          </w:p>
        </w:tc>
        <w:tc>
          <w:tcPr>
            <w:tcW w:w="551" w:type="pct"/>
            <w:hideMark/>
          </w:tcPr>
          <w:p w14:paraId="1A8AE051"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67</w:t>
            </w:r>
          </w:p>
        </w:tc>
        <w:tc>
          <w:tcPr>
            <w:tcW w:w="551" w:type="pct"/>
            <w:hideMark/>
          </w:tcPr>
          <w:p w14:paraId="5CCC47C2"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3</w:t>
            </w:r>
          </w:p>
        </w:tc>
        <w:tc>
          <w:tcPr>
            <w:tcW w:w="326" w:type="pct"/>
            <w:hideMark/>
          </w:tcPr>
          <w:p w14:paraId="23E9D07E"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4.5</w:t>
            </w:r>
          </w:p>
        </w:tc>
        <w:tc>
          <w:tcPr>
            <w:tcW w:w="551" w:type="pct"/>
            <w:hideMark/>
          </w:tcPr>
          <w:p w14:paraId="5BF044A5"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59</w:t>
            </w:r>
          </w:p>
        </w:tc>
        <w:tc>
          <w:tcPr>
            <w:tcW w:w="432" w:type="pct"/>
            <w:hideMark/>
          </w:tcPr>
          <w:p w14:paraId="2B8643BC"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88.1</w:t>
            </w:r>
          </w:p>
        </w:tc>
        <w:tc>
          <w:tcPr>
            <w:tcW w:w="653" w:type="pct"/>
            <w:hideMark/>
          </w:tcPr>
          <w:p w14:paraId="58E15C4F"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5</w:t>
            </w:r>
          </w:p>
        </w:tc>
        <w:tc>
          <w:tcPr>
            <w:tcW w:w="387" w:type="pct"/>
            <w:hideMark/>
          </w:tcPr>
          <w:p w14:paraId="589F3ACF"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7.5</w:t>
            </w:r>
          </w:p>
        </w:tc>
        <w:tc>
          <w:tcPr>
            <w:tcW w:w="1043" w:type="pct"/>
            <w:hideMark/>
          </w:tcPr>
          <w:p w14:paraId="6F9FF78E"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 xml:space="preserve">4.5 / 4.6 </w:t>
            </w:r>
          </w:p>
        </w:tc>
      </w:tr>
      <w:tr w:rsidR="00AC33F3" w:rsidRPr="00184FD5" w14:paraId="4987F6F3"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506" w:type="pct"/>
            <w:hideMark/>
          </w:tcPr>
          <w:p w14:paraId="11C12C4B"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M2</w:t>
            </w:r>
          </w:p>
        </w:tc>
        <w:tc>
          <w:tcPr>
            <w:tcW w:w="551" w:type="pct"/>
            <w:hideMark/>
          </w:tcPr>
          <w:p w14:paraId="3ACCE24F"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125</w:t>
            </w:r>
          </w:p>
        </w:tc>
        <w:tc>
          <w:tcPr>
            <w:tcW w:w="551" w:type="pct"/>
            <w:hideMark/>
          </w:tcPr>
          <w:p w14:paraId="6112B8DA"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10</w:t>
            </w:r>
          </w:p>
        </w:tc>
        <w:tc>
          <w:tcPr>
            <w:tcW w:w="326" w:type="pct"/>
            <w:hideMark/>
          </w:tcPr>
          <w:p w14:paraId="264A8054"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8.0</w:t>
            </w:r>
          </w:p>
        </w:tc>
        <w:tc>
          <w:tcPr>
            <w:tcW w:w="551" w:type="pct"/>
            <w:hideMark/>
          </w:tcPr>
          <w:p w14:paraId="1329D708"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100</w:t>
            </w:r>
          </w:p>
        </w:tc>
        <w:tc>
          <w:tcPr>
            <w:tcW w:w="432" w:type="pct"/>
            <w:hideMark/>
          </w:tcPr>
          <w:p w14:paraId="472B1071"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80.0</w:t>
            </w:r>
          </w:p>
        </w:tc>
        <w:tc>
          <w:tcPr>
            <w:tcW w:w="653" w:type="pct"/>
            <w:hideMark/>
          </w:tcPr>
          <w:p w14:paraId="5A22A447"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15</w:t>
            </w:r>
          </w:p>
        </w:tc>
        <w:tc>
          <w:tcPr>
            <w:tcW w:w="387" w:type="pct"/>
            <w:hideMark/>
          </w:tcPr>
          <w:p w14:paraId="7E0520D7"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12.0</w:t>
            </w:r>
          </w:p>
        </w:tc>
        <w:tc>
          <w:tcPr>
            <w:tcW w:w="1043" w:type="pct"/>
            <w:hideMark/>
          </w:tcPr>
          <w:p w14:paraId="25C9CB46"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8.0 / 7.4</w:t>
            </w:r>
          </w:p>
        </w:tc>
      </w:tr>
      <w:tr w:rsidR="00AC33F3" w:rsidRPr="00184FD5" w14:paraId="33A2B3FE"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hideMark/>
          </w:tcPr>
          <w:p w14:paraId="00199CCD"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M1</w:t>
            </w:r>
          </w:p>
        </w:tc>
        <w:tc>
          <w:tcPr>
            <w:tcW w:w="551" w:type="pct"/>
            <w:hideMark/>
          </w:tcPr>
          <w:p w14:paraId="71A113C0"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72</w:t>
            </w:r>
          </w:p>
        </w:tc>
        <w:tc>
          <w:tcPr>
            <w:tcW w:w="551" w:type="pct"/>
            <w:hideMark/>
          </w:tcPr>
          <w:p w14:paraId="4B7F9E31"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1</w:t>
            </w:r>
          </w:p>
        </w:tc>
        <w:tc>
          <w:tcPr>
            <w:tcW w:w="326" w:type="pct"/>
            <w:hideMark/>
          </w:tcPr>
          <w:p w14:paraId="79E4A593"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1.4</w:t>
            </w:r>
          </w:p>
        </w:tc>
        <w:tc>
          <w:tcPr>
            <w:tcW w:w="551" w:type="pct"/>
            <w:hideMark/>
          </w:tcPr>
          <w:p w14:paraId="53B0E832"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65</w:t>
            </w:r>
          </w:p>
        </w:tc>
        <w:tc>
          <w:tcPr>
            <w:tcW w:w="432" w:type="pct"/>
            <w:hideMark/>
          </w:tcPr>
          <w:p w14:paraId="44C8A04E"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90.3</w:t>
            </w:r>
          </w:p>
        </w:tc>
        <w:tc>
          <w:tcPr>
            <w:tcW w:w="653" w:type="pct"/>
            <w:hideMark/>
          </w:tcPr>
          <w:p w14:paraId="5FBA9784"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6</w:t>
            </w:r>
          </w:p>
        </w:tc>
        <w:tc>
          <w:tcPr>
            <w:tcW w:w="387" w:type="pct"/>
            <w:hideMark/>
          </w:tcPr>
          <w:p w14:paraId="1453923A"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8.3</w:t>
            </w:r>
          </w:p>
        </w:tc>
        <w:tc>
          <w:tcPr>
            <w:tcW w:w="1043" w:type="pct"/>
            <w:hideMark/>
          </w:tcPr>
          <w:p w14:paraId="651D646E"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1.4 / 1.5</w:t>
            </w:r>
          </w:p>
        </w:tc>
      </w:tr>
      <w:tr w:rsidR="00AC33F3" w:rsidRPr="00184FD5" w14:paraId="2187CFE8" w14:textId="77777777" w:rsidTr="00AC33F3">
        <w:trPr>
          <w:trHeight w:val="300"/>
        </w:trPr>
        <w:tc>
          <w:tcPr>
            <w:cnfStyle w:val="001000000000" w:firstRow="0" w:lastRow="0" w:firstColumn="1" w:lastColumn="0" w:oddVBand="0" w:evenVBand="0" w:oddHBand="0" w:evenHBand="0" w:firstRowFirstColumn="0" w:firstRowLastColumn="0" w:lastRowFirstColumn="0" w:lastRowLastColumn="0"/>
            <w:tcW w:w="506" w:type="pct"/>
            <w:hideMark/>
          </w:tcPr>
          <w:p w14:paraId="03DFDD8F"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E2**</w:t>
            </w:r>
            <w:r w:rsidRPr="00184FD5">
              <w:rPr>
                <w:rFonts w:eastAsia="Calibri" w:cs="Times New Roman"/>
                <w:color w:val="000000"/>
              </w:rPr>
              <w:br/>
              <w:t>E1</w:t>
            </w:r>
            <w:r w:rsidRPr="00184FD5">
              <w:rPr>
                <w:rFonts w:eastAsia="Calibri" w:cs="Times New Roman"/>
                <w:color w:val="000000"/>
              </w:rPr>
              <w:br/>
              <w:t>Senior</w:t>
            </w:r>
          </w:p>
        </w:tc>
        <w:tc>
          <w:tcPr>
            <w:tcW w:w="551" w:type="pct"/>
            <w:hideMark/>
          </w:tcPr>
          <w:p w14:paraId="3E4378F6"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72</w:t>
            </w:r>
          </w:p>
        </w:tc>
        <w:tc>
          <w:tcPr>
            <w:tcW w:w="551" w:type="pct"/>
            <w:hideMark/>
          </w:tcPr>
          <w:p w14:paraId="3D84502E"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3</w:t>
            </w:r>
          </w:p>
        </w:tc>
        <w:tc>
          <w:tcPr>
            <w:tcW w:w="326" w:type="pct"/>
            <w:hideMark/>
          </w:tcPr>
          <w:p w14:paraId="1804D43F"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4.2</w:t>
            </w:r>
          </w:p>
        </w:tc>
        <w:tc>
          <w:tcPr>
            <w:tcW w:w="551" w:type="pct"/>
            <w:hideMark/>
          </w:tcPr>
          <w:p w14:paraId="0C4F3F12"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67</w:t>
            </w:r>
          </w:p>
        </w:tc>
        <w:tc>
          <w:tcPr>
            <w:tcW w:w="432" w:type="pct"/>
            <w:hideMark/>
          </w:tcPr>
          <w:p w14:paraId="57334245"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93.1</w:t>
            </w:r>
          </w:p>
        </w:tc>
        <w:tc>
          <w:tcPr>
            <w:tcW w:w="653" w:type="pct"/>
            <w:hideMark/>
          </w:tcPr>
          <w:p w14:paraId="64823BC3"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2</w:t>
            </w:r>
          </w:p>
        </w:tc>
        <w:tc>
          <w:tcPr>
            <w:tcW w:w="387" w:type="pct"/>
            <w:hideMark/>
          </w:tcPr>
          <w:p w14:paraId="733B9ADA"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2.8</w:t>
            </w:r>
          </w:p>
        </w:tc>
        <w:tc>
          <w:tcPr>
            <w:tcW w:w="1043" w:type="pct"/>
            <w:hideMark/>
          </w:tcPr>
          <w:p w14:paraId="50B0966E"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br/>
              <w:t>4.2 / 7.6</w:t>
            </w:r>
          </w:p>
        </w:tc>
      </w:tr>
      <w:tr w:rsidR="00AC33F3" w:rsidRPr="00184FD5" w14:paraId="2CBE5986" w14:textId="77777777" w:rsidTr="00AC3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noWrap/>
            <w:hideMark/>
          </w:tcPr>
          <w:p w14:paraId="723FB7DE"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Total</w:t>
            </w:r>
          </w:p>
        </w:tc>
        <w:tc>
          <w:tcPr>
            <w:tcW w:w="551" w:type="pct"/>
            <w:noWrap/>
            <w:hideMark/>
          </w:tcPr>
          <w:p w14:paraId="117DAF85"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bookmarkStart w:id="7" w:name="RANGE!B12"/>
            <w:r w:rsidRPr="00184FD5">
              <w:rPr>
                <w:rFonts w:eastAsia="Calibri" w:cs="Times New Roman"/>
                <w:color w:val="000000"/>
              </w:rPr>
              <w:t>466</w:t>
            </w:r>
            <w:bookmarkEnd w:id="7"/>
          </w:p>
        </w:tc>
        <w:tc>
          <w:tcPr>
            <w:tcW w:w="551" w:type="pct"/>
            <w:noWrap/>
            <w:hideMark/>
          </w:tcPr>
          <w:p w14:paraId="1DC33C23"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27</w:t>
            </w:r>
          </w:p>
        </w:tc>
        <w:tc>
          <w:tcPr>
            <w:tcW w:w="326" w:type="pct"/>
            <w:hideMark/>
          </w:tcPr>
          <w:p w14:paraId="65E6D4BE"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5.8</w:t>
            </w:r>
          </w:p>
        </w:tc>
        <w:tc>
          <w:tcPr>
            <w:tcW w:w="551" w:type="pct"/>
            <w:noWrap/>
            <w:hideMark/>
          </w:tcPr>
          <w:p w14:paraId="637C688B"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400</w:t>
            </w:r>
          </w:p>
        </w:tc>
        <w:tc>
          <w:tcPr>
            <w:tcW w:w="432" w:type="pct"/>
            <w:hideMark/>
          </w:tcPr>
          <w:p w14:paraId="36C38F70"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85.8</w:t>
            </w:r>
          </w:p>
        </w:tc>
        <w:tc>
          <w:tcPr>
            <w:tcW w:w="653" w:type="pct"/>
            <w:noWrap/>
            <w:hideMark/>
          </w:tcPr>
          <w:p w14:paraId="07628798"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39</w:t>
            </w:r>
          </w:p>
        </w:tc>
        <w:tc>
          <w:tcPr>
            <w:tcW w:w="387" w:type="pct"/>
            <w:hideMark/>
          </w:tcPr>
          <w:p w14:paraId="69F885C4"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8.4</w:t>
            </w:r>
          </w:p>
        </w:tc>
        <w:tc>
          <w:tcPr>
            <w:tcW w:w="1043" w:type="pct"/>
            <w:hideMark/>
          </w:tcPr>
          <w:p w14:paraId="7E30AF34"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5.8 / 5.4</w:t>
            </w:r>
          </w:p>
        </w:tc>
      </w:tr>
    </w:tbl>
    <w:p w14:paraId="0BFF39CB" w14:textId="77777777" w:rsidR="00AC33F3" w:rsidRDefault="00AC33F3" w:rsidP="00AC33F3">
      <w:pPr>
        <w:pStyle w:val="3Copy-text"/>
      </w:pPr>
      <w:r>
        <w:t>* including apprentices</w:t>
      </w:r>
    </w:p>
    <w:p w14:paraId="5958E647" w14:textId="77777777" w:rsidR="00AC33F3" w:rsidRDefault="00AC33F3" w:rsidP="00AC33F3">
      <w:pPr>
        <w:pStyle w:val="3Copy-text"/>
      </w:pPr>
      <w:r>
        <w:t>** merged to protect individuals’ privacy</w:t>
      </w:r>
    </w:p>
    <w:p w14:paraId="227F168A" w14:textId="42872136" w:rsidR="00AC33F3" w:rsidRDefault="00AC33F3" w:rsidP="00AC33F3">
      <w:pPr>
        <w:pStyle w:val="3Copy-text"/>
      </w:pPr>
      <w:r>
        <w:t>Disclosure rate: 91.6%</w:t>
      </w:r>
    </w:p>
    <w:p w14:paraId="40CEAE69" w14:textId="5D6503A6" w:rsidR="00A03923" w:rsidRDefault="00A03923">
      <w:pPr>
        <w:rPr>
          <w:color w:val="414042"/>
          <w:kern w:val="24"/>
        </w:rPr>
      </w:pPr>
      <w:r>
        <w:br w:type="page"/>
      </w:r>
    </w:p>
    <w:p w14:paraId="1D6F717F" w14:textId="77777777" w:rsidR="00AC33F3" w:rsidRDefault="00AC33F3" w:rsidP="00AC33F3">
      <w:pPr>
        <w:pStyle w:val="3Copy-text"/>
      </w:pPr>
      <w:r>
        <w:lastRenderedPageBreak/>
        <w:t>Analysis:</w:t>
      </w:r>
    </w:p>
    <w:p w14:paraId="5761C610" w14:textId="07A3A755" w:rsidR="00AC33F3" w:rsidRDefault="00AC33F3" w:rsidP="00AC33F3">
      <w:pPr>
        <w:pStyle w:val="4Bulletlist"/>
      </w:pPr>
      <w:r>
        <w:t xml:space="preserve">The percentage of staff who declared a disability as at 31 March 2017 was 5.8% of our total workforce, an increase from 5.4% in 2016. We will continue to encourage all disabled staff to record their disability on the HR system, as we believe that many people with mental ill health, dyslexia and other long term health conditions who could identify with this definition of disability on our system, are not reflected in this data; </w:t>
      </w:r>
    </w:p>
    <w:p w14:paraId="5CF8451A" w14:textId="2C571789" w:rsidR="00AC33F3" w:rsidRDefault="00AC33F3" w:rsidP="00AC33F3">
      <w:pPr>
        <w:pStyle w:val="4Bulletlist"/>
      </w:pPr>
      <w:r>
        <w:t>The data shows that there is an uneven distribution of staff who identify as disabled across our workforce: 85% of our staff who identify as disabled are at the three lowest pay grades. 4.2% of the E2, E1 and Senior grades identify as disabled which is encouraging but we will continue to encourage staff to disclose their disability status on our self-service HR system; and</w:t>
      </w:r>
    </w:p>
    <w:p w14:paraId="5511F247" w14:textId="25CB1ABB" w:rsidR="00D553D9" w:rsidRDefault="00AC33F3" w:rsidP="00D553D9">
      <w:pPr>
        <w:pStyle w:val="4Bulletlist"/>
      </w:pPr>
      <w:r>
        <w:t>The 2011 Census states that 8.3% of people who are economically active and employed in the Cardiff TTWA have a long-term health problem or disability that limits their day to day activities. As 5.8% of our workforce currently identifies as disabled, we would like this figure to align more with the Cardiff TTWA figure of 8.3%. We realise that this could involve encouraging staff to self-identify as disabled staff but also we need to be sure that we are attracting disabled people to apply for work with us. We will therefore take account of this as part of a wider strategy to address underrepresentation in our workforce via the development of an attraction strategy which is inclusive of all the protected characteristics.</w:t>
      </w:r>
      <w:r w:rsidR="00184FD5">
        <w:t xml:space="preserve"> </w:t>
      </w:r>
    </w:p>
    <w:p w14:paraId="7C3F4051" w14:textId="77777777" w:rsidR="00D553D9" w:rsidRDefault="00D553D9">
      <w:pPr>
        <w:spacing w:before="0" w:after="160" w:line="259" w:lineRule="auto"/>
      </w:pPr>
      <w:r>
        <w:br w:type="page"/>
      </w:r>
    </w:p>
    <w:p w14:paraId="42DFD3FB" w14:textId="2F7DE54C" w:rsidR="00616F86" w:rsidRDefault="00616F86" w:rsidP="00616F86">
      <w:pPr>
        <w:pStyle w:val="Caption"/>
        <w:keepNext/>
      </w:pPr>
      <w:r>
        <w:lastRenderedPageBreak/>
        <w:t xml:space="preserve">Table </w:t>
      </w:r>
      <w:fldSimple w:instr=" SEQ Table \* ARABIC ">
        <w:r w:rsidR="00332158">
          <w:rPr>
            <w:noProof/>
          </w:rPr>
          <w:t>5</w:t>
        </w:r>
      </w:fldSimple>
      <w:r>
        <w:t xml:space="preserve">: </w:t>
      </w:r>
      <w:r w:rsidR="00EC4C79" w:rsidRPr="00EC4C79">
        <w:t>External Recruitment by Disability</w:t>
      </w:r>
    </w:p>
    <w:tbl>
      <w:tblPr>
        <w:tblStyle w:val="GridTable4-Accent4"/>
        <w:tblW w:w="15197" w:type="dxa"/>
        <w:tblLayout w:type="fixed"/>
        <w:tblLook w:val="04A0" w:firstRow="1" w:lastRow="0" w:firstColumn="1" w:lastColumn="0" w:noHBand="0" w:noVBand="1"/>
      </w:tblPr>
      <w:tblGrid>
        <w:gridCol w:w="1257"/>
        <w:gridCol w:w="1148"/>
        <w:gridCol w:w="1392"/>
        <w:gridCol w:w="1160"/>
        <w:gridCol w:w="1993"/>
        <w:gridCol w:w="1125"/>
        <w:gridCol w:w="2719"/>
        <w:gridCol w:w="1377"/>
        <w:gridCol w:w="1747"/>
        <w:gridCol w:w="1279"/>
      </w:tblGrid>
      <w:tr w:rsidR="00AC33F3" w:rsidRPr="00184FD5" w14:paraId="1538AF24" w14:textId="77777777" w:rsidTr="006D6CCF">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257" w:type="dxa"/>
          </w:tcPr>
          <w:p w14:paraId="142528D2" w14:textId="77777777" w:rsidR="00AC33F3" w:rsidRPr="00184FD5" w:rsidRDefault="00AC33F3" w:rsidP="00AC33F3">
            <w:pPr>
              <w:spacing w:before="0" w:after="200" w:line="264" w:lineRule="auto"/>
              <w:rPr>
                <w:rFonts w:eastAsia="Calibri" w:cs="Times New Roman"/>
                <w:b w:val="0"/>
                <w:color w:val="000000"/>
              </w:rPr>
            </w:pPr>
          </w:p>
        </w:tc>
        <w:tc>
          <w:tcPr>
            <w:tcW w:w="2540" w:type="dxa"/>
            <w:gridSpan w:val="2"/>
            <w:hideMark/>
          </w:tcPr>
          <w:p w14:paraId="709BC825"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184FD5">
              <w:rPr>
                <w:rFonts w:eastAsia="Calibri" w:cs="Times New Roman"/>
              </w:rPr>
              <w:t>Applications received</w:t>
            </w:r>
          </w:p>
        </w:tc>
        <w:tc>
          <w:tcPr>
            <w:tcW w:w="3153" w:type="dxa"/>
            <w:gridSpan w:val="2"/>
            <w:hideMark/>
          </w:tcPr>
          <w:p w14:paraId="235A14B3"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184FD5">
              <w:rPr>
                <w:rFonts w:eastAsia="Calibri" w:cs="Times New Roman"/>
              </w:rPr>
              <w:t>Successful at sift</w:t>
            </w:r>
          </w:p>
        </w:tc>
        <w:tc>
          <w:tcPr>
            <w:tcW w:w="3844" w:type="dxa"/>
            <w:gridSpan w:val="2"/>
            <w:hideMark/>
          </w:tcPr>
          <w:p w14:paraId="51D8E82D"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184FD5">
              <w:rPr>
                <w:rFonts w:eastAsia="Calibri" w:cs="Times New Roman"/>
              </w:rPr>
              <w:t>Offer of employment</w:t>
            </w:r>
          </w:p>
        </w:tc>
        <w:tc>
          <w:tcPr>
            <w:tcW w:w="1377" w:type="dxa"/>
            <w:hideMark/>
          </w:tcPr>
          <w:p w14:paraId="094FD553"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184FD5">
              <w:rPr>
                <w:rFonts w:eastAsia="Calibri" w:cs="Times New Roman"/>
              </w:rPr>
              <w:t>Overall success rate</w:t>
            </w:r>
          </w:p>
        </w:tc>
        <w:tc>
          <w:tcPr>
            <w:tcW w:w="1747" w:type="dxa"/>
            <w:hideMark/>
          </w:tcPr>
          <w:p w14:paraId="56B795DC"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184FD5">
              <w:rPr>
                <w:rFonts w:eastAsia="Calibri" w:cs="Times New Roman"/>
              </w:rPr>
              <w:t>Overall success rate 2015-16</w:t>
            </w:r>
          </w:p>
        </w:tc>
        <w:tc>
          <w:tcPr>
            <w:tcW w:w="1279" w:type="dxa"/>
            <w:hideMark/>
          </w:tcPr>
          <w:p w14:paraId="5BFD086A" w14:textId="77777777" w:rsidR="00AC33F3" w:rsidRPr="00184FD5" w:rsidRDefault="00AC33F3" w:rsidP="00AC33F3">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184FD5">
              <w:rPr>
                <w:rFonts w:eastAsia="Calibri" w:cs="Times New Roman"/>
              </w:rPr>
              <w:t>% of total job offers</w:t>
            </w:r>
          </w:p>
        </w:tc>
      </w:tr>
      <w:tr w:rsidR="00AC33F3" w:rsidRPr="00184FD5" w14:paraId="2E301D0F" w14:textId="77777777" w:rsidTr="006C65F7">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257" w:type="dxa"/>
          </w:tcPr>
          <w:p w14:paraId="3AA3A962" w14:textId="77777777" w:rsidR="00AC33F3" w:rsidRPr="00184FD5" w:rsidRDefault="00AC33F3" w:rsidP="00AC33F3">
            <w:pPr>
              <w:spacing w:before="0" w:after="200" w:line="264" w:lineRule="auto"/>
              <w:rPr>
                <w:rFonts w:eastAsia="Calibri" w:cs="Times New Roman"/>
                <w:b w:val="0"/>
                <w:color w:val="000000"/>
              </w:rPr>
            </w:pPr>
          </w:p>
        </w:tc>
        <w:tc>
          <w:tcPr>
            <w:tcW w:w="1148" w:type="dxa"/>
            <w:hideMark/>
          </w:tcPr>
          <w:p w14:paraId="33A5DC02"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number</w:t>
            </w:r>
          </w:p>
        </w:tc>
        <w:tc>
          <w:tcPr>
            <w:tcW w:w="1392" w:type="dxa"/>
            <w:hideMark/>
          </w:tcPr>
          <w:p w14:paraId="7CF61689"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 of total application</w:t>
            </w:r>
          </w:p>
        </w:tc>
        <w:tc>
          <w:tcPr>
            <w:tcW w:w="1160" w:type="dxa"/>
            <w:hideMark/>
          </w:tcPr>
          <w:p w14:paraId="07CB6F7F"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number</w:t>
            </w:r>
          </w:p>
        </w:tc>
        <w:tc>
          <w:tcPr>
            <w:tcW w:w="1993" w:type="dxa"/>
            <w:hideMark/>
          </w:tcPr>
          <w:p w14:paraId="22811A01"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 of applications successful at sift</w:t>
            </w:r>
          </w:p>
        </w:tc>
        <w:tc>
          <w:tcPr>
            <w:tcW w:w="1125" w:type="dxa"/>
            <w:hideMark/>
          </w:tcPr>
          <w:p w14:paraId="4DCF5B0D"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number</w:t>
            </w:r>
          </w:p>
        </w:tc>
        <w:tc>
          <w:tcPr>
            <w:tcW w:w="2719" w:type="dxa"/>
            <w:hideMark/>
          </w:tcPr>
          <w:p w14:paraId="26E4CE87"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 of those successful at sift offered employment</w:t>
            </w:r>
          </w:p>
        </w:tc>
        <w:tc>
          <w:tcPr>
            <w:tcW w:w="1377" w:type="dxa"/>
            <w:hideMark/>
          </w:tcPr>
          <w:p w14:paraId="32D3CB7D"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w:t>
            </w:r>
          </w:p>
        </w:tc>
        <w:tc>
          <w:tcPr>
            <w:tcW w:w="1747" w:type="dxa"/>
            <w:hideMark/>
          </w:tcPr>
          <w:p w14:paraId="023247F7"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w:t>
            </w:r>
          </w:p>
        </w:tc>
        <w:tc>
          <w:tcPr>
            <w:tcW w:w="1279" w:type="dxa"/>
            <w:hideMark/>
          </w:tcPr>
          <w:p w14:paraId="5DFF8221"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184FD5">
              <w:rPr>
                <w:rFonts w:eastAsia="Calibri" w:cs="Times New Roman"/>
                <w:b/>
                <w:color w:val="000000"/>
              </w:rPr>
              <w:t>%</w:t>
            </w:r>
          </w:p>
        </w:tc>
      </w:tr>
      <w:tr w:rsidR="00AC33F3" w:rsidRPr="00184FD5" w14:paraId="38C6DC3B" w14:textId="77777777" w:rsidTr="006C65F7">
        <w:trPr>
          <w:trHeight w:val="298"/>
        </w:trPr>
        <w:tc>
          <w:tcPr>
            <w:cnfStyle w:val="001000000000" w:firstRow="0" w:lastRow="0" w:firstColumn="1" w:lastColumn="0" w:oddVBand="0" w:evenVBand="0" w:oddHBand="0" w:evenHBand="0" w:firstRowFirstColumn="0" w:firstRowLastColumn="0" w:lastRowFirstColumn="0" w:lastRowLastColumn="0"/>
            <w:tcW w:w="1257" w:type="dxa"/>
            <w:hideMark/>
          </w:tcPr>
          <w:p w14:paraId="06D7969A"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Disabled</w:t>
            </w:r>
          </w:p>
        </w:tc>
        <w:tc>
          <w:tcPr>
            <w:tcW w:w="1148" w:type="dxa"/>
            <w:hideMark/>
          </w:tcPr>
          <w:p w14:paraId="17B956BB"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48</w:t>
            </w:r>
          </w:p>
        </w:tc>
        <w:tc>
          <w:tcPr>
            <w:tcW w:w="1392" w:type="dxa"/>
            <w:hideMark/>
          </w:tcPr>
          <w:p w14:paraId="3C411408"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7.1</w:t>
            </w:r>
          </w:p>
        </w:tc>
        <w:tc>
          <w:tcPr>
            <w:tcW w:w="1160" w:type="dxa"/>
            <w:hideMark/>
          </w:tcPr>
          <w:p w14:paraId="27AA576A"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19</w:t>
            </w:r>
          </w:p>
        </w:tc>
        <w:tc>
          <w:tcPr>
            <w:tcW w:w="1993" w:type="dxa"/>
            <w:hideMark/>
          </w:tcPr>
          <w:p w14:paraId="4CE8558C"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39.6</w:t>
            </w:r>
          </w:p>
        </w:tc>
        <w:tc>
          <w:tcPr>
            <w:tcW w:w="1125" w:type="dxa"/>
            <w:hideMark/>
          </w:tcPr>
          <w:p w14:paraId="0826C61D"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6</w:t>
            </w:r>
          </w:p>
        </w:tc>
        <w:tc>
          <w:tcPr>
            <w:tcW w:w="2719" w:type="dxa"/>
            <w:hideMark/>
          </w:tcPr>
          <w:p w14:paraId="528AE960"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31.6</w:t>
            </w:r>
          </w:p>
        </w:tc>
        <w:tc>
          <w:tcPr>
            <w:tcW w:w="1377" w:type="dxa"/>
            <w:hideMark/>
          </w:tcPr>
          <w:p w14:paraId="3627F379"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12.5</w:t>
            </w:r>
          </w:p>
        </w:tc>
        <w:tc>
          <w:tcPr>
            <w:tcW w:w="1747" w:type="dxa"/>
            <w:hideMark/>
          </w:tcPr>
          <w:p w14:paraId="35B43C81"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2.0</w:t>
            </w:r>
          </w:p>
        </w:tc>
        <w:tc>
          <w:tcPr>
            <w:tcW w:w="1279" w:type="dxa"/>
            <w:hideMark/>
          </w:tcPr>
          <w:p w14:paraId="5E81E8A5"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9.8</w:t>
            </w:r>
          </w:p>
        </w:tc>
      </w:tr>
      <w:tr w:rsidR="00AC33F3" w:rsidRPr="00184FD5" w14:paraId="370D5729" w14:textId="77777777" w:rsidTr="006C65F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57" w:type="dxa"/>
            <w:hideMark/>
          </w:tcPr>
          <w:p w14:paraId="3FFB988D"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Non-disabled</w:t>
            </w:r>
          </w:p>
        </w:tc>
        <w:tc>
          <w:tcPr>
            <w:tcW w:w="1148" w:type="dxa"/>
            <w:hideMark/>
          </w:tcPr>
          <w:p w14:paraId="32184040"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608</w:t>
            </w:r>
          </w:p>
        </w:tc>
        <w:tc>
          <w:tcPr>
            <w:tcW w:w="1392" w:type="dxa"/>
            <w:hideMark/>
          </w:tcPr>
          <w:p w14:paraId="6765A7B9"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90.3</w:t>
            </w:r>
          </w:p>
        </w:tc>
        <w:tc>
          <w:tcPr>
            <w:tcW w:w="1160" w:type="dxa"/>
            <w:hideMark/>
          </w:tcPr>
          <w:p w14:paraId="41E04131"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241</w:t>
            </w:r>
          </w:p>
        </w:tc>
        <w:tc>
          <w:tcPr>
            <w:tcW w:w="1993" w:type="dxa"/>
            <w:hideMark/>
          </w:tcPr>
          <w:p w14:paraId="5331DE99"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39.6</w:t>
            </w:r>
          </w:p>
        </w:tc>
        <w:tc>
          <w:tcPr>
            <w:tcW w:w="1125" w:type="dxa"/>
            <w:hideMark/>
          </w:tcPr>
          <w:p w14:paraId="3B357FB4"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55</w:t>
            </w:r>
          </w:p>
        </w:tc>
        <w:tc>
          <w:tcPr>
            <w:tcW w:w="2719" w:type="dxa"/>
            <w:hideMark/>
          </w:tcPr>
          <w:p w14:paraId="0E70FA5B"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22.8</w:t>
            </w:r>
          </w:p>
        </w:tc>
        <w:tc>
          <w:tcPr>
            <w:tcW w:w="1377" w:type="dxa"/>
            <w:hideMark/>
          </w:tcPr>
          <w:p w14:paraId="1F411FFF"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9.0</w:t>
            </w:r>
          </w:p>
        </w:tc>
        <w:tc>
          <w:tcPr>
            <w:tcW w:w="1747" w:type="dxa"/>
            <w:hideMark/>
          </w:tcPr>
          <w:p w14:paraId="20753030"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4.7</w:t>
            </w:r>
          </w:p>
        </w:tc>
        <w:tc>
          <w:tcPr>
            <w:tcW w:w="1279" w:type="dxa"/>
            <w:hideMark/>
          </w:tcPr>
          <w:p w14:paraId="4AC65DE8"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90.2</w:t>
            </w:r>
          </w:p>
        </w:tc>
      </w:tr>
      <w:tr w:rsidR="00AC33F3" w:rsidRPr="00184FD5" w14:paraId="65D42F40" w14:textId="77777777" w:rsidTr="006C65F7">
        <w:trPr>
          <w:trHeight w:val="298"/>
        </w:trPr>
        <w:tc>
          <w:tcPr>
            <w:cnfStyle w:val="001000000000" w:firstRow="0" w:lastRow="0" w:firstColumn="1" w:lastColumn="0" w:oddVBand="0" w:evenVBand="0" w:oddHBand="0" w:evenHBand="0" w:firstRowFirstColumn="0" w:firstRowLastColumn="0" w:lastRowFirstColumn="0" w:lastRowLastColumn="0"/>
            <w:tcW w:w="1257" w:type="dxa"/>
            <w:hideMark/>
          </w:tcPr>
          <w:p w14:paraId="15D59D7C"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 xml:space="preserve">Prefer not to say </w:t>
            </w:r>
          </w:p>
        </w:tc>
        <w:tc>
          <w:tcPr>
            <w:tcW w:w="1148" w:type="dxa"/>
            <w:hideMark/>
          </w:tcPr>
          <w:p w14:paraId="3F074C81"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0</w:t>
            </w:r>
          </w:p>
        </w:tc>
        <w:tc>
          <w:tcPr>
            <w:tcW w:w="1392" w:type="dxa"/>
            <w:hideMark/>
          </w:tcPr>
          <w:p w14:paraId="160EBC05"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0.0</w:t>
            </w:r>
          </w:p>
        </w:tc>
        <w:tc>
          <w:tcPr>
            <w:tcW w:w="1160" w:type="dxa"/>
            <w:hideMark/>
          </w:tcPr>
          <w:p w14:paraId="4E4FC669"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0</w:t>
            </w:r>
          </w:p>
        </w:tc>
        <w:tc>
          <w:tcPr>
            <w:tcW w:w="1993" w:type="dxa"/>
            <w:hideMark/>
          </w:tcPr>
          <w:p w14:paraId="657B85A1"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0.0</w:t>
            </w:r>
          </w:p>
        </w:tc>
        <w:tc>
          <w:tcPr>
            <w:tcW w:w="1125" w:type="dxa"/>
            <w:hideMark/>
          </w:tcPr>
          <w:p w14:paraId="4EC2695F"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0</w:t>
            </w:r>
          </w:p>
        </w:tc>
        <w:tc>
          <w:tcPr>
            <w:tcW w:w="2719" w:type="dxa"/>
            <w:hideMark/>
          </w:tcPr>
          <w:p w14:paraId="13515355"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0.0</w:t>
            </w:r>
          </w:p>
        </w:tc>
        <w:tc>
          <w:tcPr>
            <w:tcW w:w="1377" w:type="dxa"/>
            <w:hideMark/>
          </w:tcPr>
          <w:p w14:paraId="31F693FC"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0.0</w:t>
            </w:r>
          </w:p>
        </w:tc>
        <w:tc>
          <w:tcPr>
            <w:tcW w:w="1747" w:type="dxa"/>
            <w:hideMark/>
          </w:tcPr>
          <w:p w14:paraId="5B97F58C"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8.3</w:t>
            </w:r>
          </w:p>
        </w:tc>
        <w:tc>
          <w:tcPr>
            <w:tcW w:w="1279" w:type="dxa"/>
            <w:hideMark/>
          </w:tcPr>
          <w:p w14:paraId="6FB3F53E"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0.0</w:t>
            </w:r>
          </w:p>
        </w:tc>
      </w:tr>
      <w:tr w:rsidR="00AC33F3" w:rsidRPr="00184FD5" w14:paraId="7F06AE7D" w14:textId="77777777" w:rsidTr="006C65F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57" w:type="dxa"/>
            <w:hideMark/>
          </w:tcPr>
          <w:p w14:paraId="1825A177"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No reply</w:t>
            </w:r>
          </w:p>
        </w:tc>
        <w:tc>
          <w:tcPr>
            <w:tcW w:w="1148" w:type="dxa"/>
            <w:hideMark/>
          </w:tcPr>
          <w:p w14:paraId="76B00554"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17</w:t>
            </w:r>
          </w:p>
        </w:tc>
        <w:tc>
          <w:tcPr>
            <w:tcW w:w="1392" w:type="dxa"/>
            <w:hideMark/>
          </w:tcPr>
          <w:p w14:paraId="59C96312"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2.5</w:t>
            </w:r>
          </w:p>
        </w:tc>
        <w:tc>
          <w:tcPr>
            <w:tcW w:w="1160" w:type="dxa"/>
            <w:hideMark/>
          </w:tcPr>
          <w:p w14:paraId="1DEA979C"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5</w:t>
            </w:r>
          </w:p>
        </w:tc>
        <w:tc>
          <w:tcPr>
            <w:tcW w:w="1993" w:type="dxa"/>
            <w:hideMark/>
          </w:tcPr>
          <w:p w14:paraId="4BC70EFE"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29.4</w:t>
            </w:r>
          </w:p>
        </w:tc>
        <w:tc>
          <w:tcPr>
            <w:tcW w:w="1125" w:type="dxa"/>
            <w:hideMark/>
          </w:tcPr>
          <w:p w14:paraId="2E96FF84"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0</w:t>
            </w:r>
          </w:p>
        </w:tc>
        <w:tc>
          <w:tcPr>
            <w:tcW w:w="2719" w:type="dxa"/>
            <w:hideMark/>
          </w:tcPr>
          <w:p w14:paraId="71D52B3D"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0.0</w:t>
            </w:r>
          </w:p>
        </w:tc>
        <w:tc>
          <w:tcPr>
            <w:tcW w:w="1377" w:type="dxa"/>
            <w:hideMark/>
          </w:tcPr>
          <w:p w14:paraId="19E8BD85"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0.0</w:t>
            </w:r>
          </w:p>
        </w:tc>
        <w:tc>
          <w:tcPr>
            <w:tcW w:w="1747" w:type="dxa"/>
            <w:hideMark/>
          </w:tcPr>
          <w:p w14:paraId="10BB629F"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9.1</w:t>
            </w:r>
          </w:p>
        </w:tc>
        <w:tc>
          <w:tcPr>
            <w:tcW w:w="1279" w:type="dxa"/>
            <w:hideMark/>
          </w:tcPr>
          <w:p w14:paraId="7FC3364A" w14:textId="77777777" w:rsidR="00AC33F3" w:rsidRPr="00184FD5" w:rsidRDefault="00AC33F3" w:rsidP="00AC33F3">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184FD5">
              <w:rPr>
                <w:rFonts w:eastAsia="Calibri" w:cs="Times New Roman"/>
                <w:color w:val="000000"/>
              </w:rPr>
              <w:t>0.0</w:t>
            </w:r>
          </w:p>
        </w:tc>
      </w:tr>
      <w:tr w:rsidR="00AC33F3" w:rsidRPr="00184FD5" w14:paraId="7BC37317" w14:textId="77777777" w:rsidTr="006C65F7">
        <w:trPr>
          <w:trHeight w:val="298"/>
        </w:trPr>
        <w:tc>
          <w:tcPr>
            <w:cnfStyle w:val="001000000000" w:firstRow="0" w:lastRow="0" w:firstColumn="1" w:lastColumn="0" w:oddVBand="0" w:evenVBand="0" w:oddHBand="0" w:evenHBand="0" w:firstRowFirstColumn="0" w:firstRowLastColumn="0" w:lastRowFirstColumn="0" w:lastRowLastColumn="0"/>
            <w:tcW w:w="1257" w:type="dxa"/>
            <w:hideMark/>
          </w:tcPr>
          <w:p w14:paraId="3E60EA1F" w14:textId="77777777" w:rsidR="00AC33F3" w:rsidRPr="00184FD5" w:rsidRDefault="00AC33F3" w:rsidP="00AC33F3">
            <w:pPr>
              <w:spacing w:before="0" w:after="200" w:line="264" w:lineRule="auto"/>
              <w:rPr>
                <w:rFonts w:eastAsia="Calibri" w:cs="Times New Roman"/>
                <w:color w:val="000000"/>
              </w:rPr>
            </w:pPr>
            <w:r w:rsidRPr="00184FD5">
              <w:rPr>
                <w:rFonts w:eastAsia="Calibri" w:cs="Times New Roman"/>
                <w:color w:val="000000"/>
              </w:rPr>
              <w:t>Total</w:t>
            </w:r>
          </w:p>
        </w:tc>
        <w:tc>
          <w:tcPr>
            <w:tcW w:w="1148" w:type="dxa"/>
            <w:hideMark/>
          </w:tcPr>
          <w:p w14:paraId="270272B7"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673</w:t>
            </w:r>
          </w:p>
        </w:tc>
        <w:tc>
          <w:tcPr>
            <w:tcW w:w="1392" w:type="dxa"/>
            <w:hideMark/>
          </w:tcPr>
          <w:p w14:paraId="23F7ACF3"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100.00</w:t>
            </w:r>
          </w:p>
        </w:tc>
        <w:tc>
          <w:tcPr>
            <w:tcW w:w="1160" w:type="dxa"/>
            <w:hideMark/>
          </w:tcPr>
          <w:p w14:paraId="6FB2B147"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265</w:t>
            </w:r>
          </w:p>
        </w:tc>
        <w:tc>
          <w:tcPr>
            <w:tcW w:w="1993" w:type="dxa"/>
            <w:hideMark/>
          </w:tcPr>
          <w:p w14:paraId="3547EA2E"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39.4</w:t>
            </w:r>
          </w:p>
        </w:tc>
        <w:tc>
          <w:tcPr>
            <w:tcW w:w="1125" w:type="dxa"/>
            <w:hideMark/>
          </w:tcPr>
          <w:p w14:paraId="22EFA414"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61</w:t>
            </w:r>
          </w:p>
        </w:tc>
        <w:tc>
          <w:tcPr>
            <w:tcW w:w="2719" w:type="dxa"/>
            <w:hideMark/>
          </w:tcPr>
          <w:p w14:paraId="5E766409"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23.0</w:t>
            </w:r>
          </w:p>
        </w:tc>
        <w:tc>
          <w:tcPr>
            <w:tcW w:w="1377" w:type="dxa"/>
            <w:hideMark/>
          </w:tcPr>
          <w:p w14:paraId="7EE8A620"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9.1</w:t>
            </w:r>
          </w:p>
        </w:tc>
        <w:tc>
          <w:tcPr>
            <w:tcW w:w="1747" w:type="dxa"/>
            <w:hideMark/>
          </w:tcPr>
          <w:p w14:paraId="3E3A194E"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4.8</w:t>
            </w:r>
          </w:p>
        </w:tc>
        <w:tc>
          <w:tcPr>
            <w:tcW w:w="1279" w:type="dxa"/>
            <w:hideMark/>
          </w:tcPr>
          <w:p w14:paraId="55E98C97" w14:textId="77777777" w:rsidR="00AC33F3" w:rsidRPr="00184FD5" w:rsidRDefault="00AC33F3" w:rsidP="00AC33F3">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184FD5">
              <w:rPr>
                <w:rFonts w:eastAsia="Calibri" w:cs="Times New Roman"/>
                <w:color w:val="000000"/>
              </w:rPr>
              <w:t>100.0</w:t>
            </w:r>
          </w:p>
        </w:tc>
      </w:tr>
    </w:tbl>
    <w:p w14:paraId="35BE2C0E" w14:textId="1271525F" w:rsidR="00A03923" w:rsidRDefault="00A03923" w:rsidP="00616F86">
      <w:pPr>
        <w:pStyle w:val="4Bulletlist"/>
        <w:numPr>
          <w:ilvl w:val="0"/>
          <w:numId w:val="0"/>
        </w:numPr>
      </w:pPr>
    </w:p>
    <w:p w14:paraId="2071D4AA" w14:textId="77777777" w:rsidR="00A03923" w:rsidRDefault="00A03923">
      <w:pPr>
        <w:rPr>
          <w:rFonts w:eastAsia="Lucida Sans" w:cs="Times New Roman"/>
          <w:color w:val="414042"/>
          <w:kern w:val="24"/>
        </w:rPr>
      </w:pPr>
      <w:r>
        <w:br w:type="page"/>
      </w:r>
    </w:p>
    <w:p w14:paraId="3E474133" w14:textId="77777777" w:rsidR="006D6CCF" w:rsidRDefault="006D6CCF" w:rsidP="00616F86">
      <w:pPr>
        <w:pStyle w:val="4Bulletlist"/>
        <w:numPr>
          <w:ilvl w:val="0"/>
          <w:numId w:val="0"/>
        </w:numPr>
      </w:pPr>
      <w:r>
        <w:lastRenderedPageBreak/>
        <w:t>Analysis:</w:t>
      </w:r>
    </w:p>
    <w:p w14:paraId="0A4A4F95" w14:textId="77777777" w:rsidR="00EC4C79" w:rsidRPr="00EC4C79" w:rsidRDefault="00EC4C79" w:rsidP="00EC4C79">
      <w:pPr>
        <w:pStyle w:val="4Bulletlist"/>
      </w:pPr>
      <w:r w:rsidRPr="00EC4C79">
        <w:t>As above, the 2011 Census states that 8.3% of people who are economically active and employed in the Cardiff TTWA have a long-term health problem or disability that limits their day to day activities. 7.1% of applications received were from people who identified as disabled compared to last reporting year’s figure of 5.6%. The success rate at sift is 39.6% compared to last reporting year of 16.3%;</w:t>
      </w:r>
    </w:p>
    <w:p w14:paraId="5FDBC159" w14:textId="77777777" w:rsidR="00EC4C79" w:rsidRPr="00EC4C79" w:rsidRDefault="00EC4C79" w:rsidP="00EC4C79">
      <w:pPr>
        <w:pStyle w:val="4Bulletlist"/>
      </w:pPr>
      <w:r w:rsidRPr="00EC4C79">
        <w:t>Six applicants who identified as disabled were offered employment this year as opposed to one person in the last reporting period;</w:t>
      </w:r>
    </w:p>
    <w:p w14:paraId="0C955258" w14:textId="77777777" w:rsidR="00EC4C79" w:rsidRPr="00EC4C79" w:rsidRDefault="00EC4C79" w:rsidP="00EC4C79">
      <w:pPr>
        <w:pStyle w:val="4Bulletlist"/>
      </w:pPr>
      <w:r w:rsidRPr="00EC4C79">
        <w:t>The overall success rate for applicants who identify as disabled is 12.5%, compared with 2.0% from the last reporting year. The success rate for applicants who identify as disabled surpasses that of people who did not identify as disabled;</w:t>
      </w:r>
    </w:p>
    <w:p w14:paraId="5784B9BB" w14:textId="77777777" w:rsidR="00EC4C79" w:rsidRPr="00EC4C79" w:rsidRDefault="00EC4C79" w:rsidP="00EC4C79">
      <w:pPr>
        <w:pStyle w:val="4Bulletlist"/>
      </w:pPr>
      <w:r w:rsidRPr="00EC4C79">
        <w:t>9.8% of people offered a job declared a disability, compared to 2.3% in 2015-2016. This increase could be explained in that more people might be declaring a disability and the number of no replies has fallen from 5.1% of total applications to 2.5% in 2016-2017; and</w:t>
      </w:r>
    </w:p>
    <w:p w14:paraId="19D62AE1" w14:textId="77777777" w:rsidR="00EC4C79" w:rsidRPr="00EC4C79" w:rsidRDefault="00EC4C79" w:rsidP="00EC4C79">
      <w:pPr>
        <w:pStyle w:val="4Bulletlist"/>
      </w:pPr>
      <w:r w:rsidRPr="00EC4C79">
        <w:t xml:space="preserve">The percentage for successful at sift is the same for disabled and non-disabled people. The percentage of those offered employment is higher for disabled people than non-disabled people and the overall success rate is also higher. Although it is difficult to draw conclusions as the numbers remain small.  </w:t>
      </w:r>
    </w:p>
    <w:p w14:paraId="705612E9" w14:textId="68BA6D0E" w:rsidR="00630025" w:rsidRDefault="00D553D9">
      <w:pPr>
        <w:spacing w:before="0" w:after="160" w:line="259" w:lineRule="auto"/>
      </w:pPr>
      <w:r>
        <w:br w:type="page"/>
      </w:r>
    </w:p>
    <w:p w14:paraId="00A394DF" w14:textId="3754D5FF" w:rsidR="00630025" w:rsidRDefault="00630025" w:rsidP="00630025">
      <w:pPr>
        <w:pStyle w:val="2Sub-headings"/>
        <w:rPr>
          <w:rFonts w:eastAsia="Lucida Sans"/>
        </w:rPr>
      </w:pPr>
      <w:r w:rsidRPr="00630025">
        <w:rPr>
          <w:rFonts w:eastAsia="Lucida Sans"/>
        </w:rPr>
        <w:lastRenderedPageBreak/>
        <w:t>Gender (by grade)</w:t>
      </w:r>
    </w:p>
    <w:p w14:paraId="17206C89" w14:textId="11F4ED44" w:rsidR="00616F86" w:rsidRDefault="00616F86" w:rsidP="00616F86">
      <w:pPr>
        <w:pStyle w:val="Caption"/>
        <w:keepNext/>
      </w:pPr>
      <w:r>
        <w:t xml:space="preserve">Table </w:t>
      </w:r>
      <w:fldSimple w:instr=" SEQ Table \* ARABIC ">
        <w:r w:rsidR="00332158">
          <w:rPr>
            <w:noProof/>
          </w:rPr>
          <w:t>6</w:t>
        </w:r>
      </w:fldSimple>
      <w:r>
        <w:t xml:space="preserve">: </w:t>
      </w:r>
      <w:r w:rsidRPr="00AB2B45">
        <w:t>Workforce Gender Profile (by grade)</w:t>
      </w:r>
    </w:p>
    <w:tbl>
      <w:tblPr>
        <w:tblStyle w:val="GridTable4-Accent4"/>
        <w:tblW w:w="5000" w:type="pct"/>
        <w:tblLook w:val="04A0" w:firstRow="1" w:lastRow="0" w:firstColumn="1" w:lastColumn="0" w:noHBand="0" w:noVBand="1"/>
      </w:tblPr>
      <w:tblGrid>
        <w:gridCol w:w="1373"/>
        <w:gridCol w:w="1494"/>
        <w:gridCol w:w="2198"/>
        <w:gridCol w:w="1314"/>
        <w:gridCol w:w="2333"/>
        <w:gridCol w:w="1337"/>
        <w:gridCol w:w="2472"/>
        <w:gridCol w:w="2265"/>
      </w:tblGrid>
      <w:tr w:rsidR="00630025" w:rsidRPr="00630025" w14:paraId="1F5BDD59" w14:textId="77777777" w:rsidTr="0063002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4" w:type="pct"/>
            <w:hideMark/>
          </w:tcPr>
          <w:p w14:paraId="3FC0FCCD" w14:textId="77777777" w:rsidR="00630025" w:rsidRPr="00630025" w:rsidRDefault="00630025" w:rsidP="00630025">
            <w:pPr>
              <w:spacing w:before="0" w:after="200" w:line="264" w:lineRule="auto"/>
              <w:rPr>
                <w:rFonts w:eastAsia="Calibri" w:cs="Times New Roman"/>
              </w:rPr>
            </w:pPr>
            <w:r w:rsidRPr="00630025">
              <w:rPr>
                <w:rFonts w:eastAsia="Calibri" w:cs="Times New Roman"/>
              </w:rPr>
              <w:t>Grade</w:t>
            </w:r>
          </w:p>
        </w:tc>
        <w:tc>
          <w:tcPr>
            <w:tcW w:w="505" w:type="pct"/>
            <w:hideMark/>
          </w:tcPr>
          <w:p w14:paraId="69AF22CE"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Total staff</w:t>
            </w:r>
          </w:p>
        </w:tc>
        <w:tc>
          <w:tcPr>
            <w:tcW w:w="1187" w:type="pct"/>
            <w:gridSpan w:val="2"/>
            <w:hideMark/>
          </w:tcPr>
          <w:p w14:paraId="7ED72CF9"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Women</w:t>
            </w:r>
          </w:p>
        </w:tc>
        <w:tc>
          <w:tcPr>
            <w:tcW w:w="1241" w:type="pct"/>
            <w:gridSpan w:val="2"/>
            <w:hideMark/>
          </w:tcPr>
          <w:p w14:paraId="1FE53B21"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Men</w:t>
            </w:r>
          </w:p>
        </w:tc>
        <w:tc>
          <w:tcPr>
            <w:tcW w:w="836" w:type="pct"/>
            <w:hideMark/>
          </w:tcPr>
          <w:p w14:paraId="381A1F68"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 split 2017</w:t>
            </w:r>
          </w:p>
        </w:tc>
        <w:tc>
          <w:tcPr>
            <w:tcW w:w="766" w:type="pct"/>
            <w:hideMark/>
          </w:tcPr>
          <w:p w14:paraId="5D339805"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 split 2016</w:t>
            </w:r>
          </w:p>
        </w:tc>
      </w:tr>
      <w:tr w:rsidR="00630025" w:rsidRPr="00630025" w14:paraId="0B30AE48" w14:textId="77777777" w:rsidTr="00630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 w:type="pct"/>
            <w:hideMark/>
          </w:tcPr>
          <w:p w14:paraId="22475788"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 </w:t>
            </w:r>
          </w:p>
        </w:tc>
        <w:tc>
          <w:tcPr>
            <w:tcW w:w="505" w:type="pct"/>
            <w:hideMark/>
          </w:tcPr>
          <w:p w14:paraId="25F5B8BA"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number</w:t>
            </w:r>
          </w:p>
        </w:tc>
        <w:tc>
          <w:tcPr>
            <w:tcW w:w="743" w:type="pct"/>
            <w:hideMark/>
          </w:tcPr>
          <w:p w14:paraId="5EBC738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number</w:t>
            </w:r>
          </w:p>
        </w:tc>
        <w:tc>
          <w:tcPr>
            <w:tcW w:w="444" w:type="pct"/>
            <w:hideMark/>
          </w:tcPr>
          <w:p w14:paraId="7EA84E6A"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w:t>
            </w:r>
          </w:p>
        </w:tc>
        <w:tc>
          <w:tcPr>
            <w:tcW w:w="789" w:type="pct"/>
            <w:hideMark/>
          </w:tcPr>
          <w:p w14:paraId="19D532F1"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 xml:space="preserve">number </w:t>
            </w:r>
          </w:p>
        </w:tc>
        <w:tc>
          <w:tcPr>
            <w:tcW w:w="452" w:type="pct"/>
            <w:hideMark/>
          </w:tcPr>
          <w:p w14:paraId="231019E6"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w:t>
            </w:r>
          </w:p>
        </w:tc>
        <w:tc>
          <w:tcPr>
            <w:tcW w:w="836" w:type="pct"/>
            <w:hideMark/>
          </w:tcPr>
          <w:p w14:paraId="3BBE57EF"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Women / men</w:t>
            </w:r>
          </w:p>
        </w:tc>
        <w:tc>
          <w:tcPr>
            <w:tcW w:w="766" w:type="pct"/>
            <w:hideMark/>
          </w:tcPr>
          <w:p w14:paraId="10403B54"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Women / men</w:t>
            </w:r>
          </w:p>
        </w:tc>
      </w:tr>
      <w:tr w:rsidR="00630025" w:rsidRPr="00630025" w14:paraId="12C883A0" w14:textId="77777777" w:rsidTr="00630025">
        <w:trPr>
          <w:trHeight w:val="300"/>
        </w:trPr>
        <w:tc>
          <w:tcPr>
            <w:cnfStyle w:val="001000000000" w:firstRow="0" w:lastRow="0" w:firstColumn="1" w:lastColumn="0" w:oddVBand="0" w:evenVBand="0" w:oddHBand="0" w:evenHBand="0" w:firstRowFirstColumn="0" w:firstRowLastColumn="0" w:lastRowFirstColumn="0" w:lastRowLastColumn="0"/>
            <w:tcW w:w="464" w:type="pct"/>
            <w:hideMark/>
          </w:tcPr>
          <w:p w14:paraId="659AAC70"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TS*</w:t>
            </w:r>
          </w:p>
        </w:tc>
        <w:tc>
          <w:tcPr>
            <w:tcW w:w="505" w:type="pct"/>
            <w:hideMark/>
          </w:tcPr>
          <w:p w14:paraId="79D62BEF"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130</w:t>
            </w:r>
          </w:p>
        </w:tc>
        <w:tc>
          <w:tcPr>
            <w:tcW w:w="743" w:type="pct"/>
            <w:hideMark/>
          </w:tcPr>
          <w:p w14:paraId="28607B91"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52</w:t>
            </w:r>
          </w:p>
        </w:tc>
        <w:tc>
          <w:tcPr>
            <w:tcW w:w="444" w:type="pct"/>
            <w:hideMark/>
          </w:tcPr>
          <w:p w14:paraId="18713A60"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40.0</w:t>
            </w:r>
          </w:p>
        </w:tc>
        <w:tc>
          <w:tcPr>
            <w:tcW w:w="789" w:type="pct"/>
            <w:hideMark/>
          </w:tcPr>
          <w:p w14:paraId="4AD94067"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78</w:t>
            </w:r>
          </w:p>
        </w:tc>
        <w:tc>
          <w:tcPr>
            <w:tcW w:w="452" w:type="pct"/>
            <w:hideMark/>
          </w:tcPr>
          <w:p w14:paraId="0B888CDB"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60.0</w:t>
            </w:r>
          </w:p>
        </w:tc>
        <w:tc>
          <w:tcPr>
            <w:tcW w:w="836" w:type="pct"/>
            <w:hideMark/>
          </w:tcPr>
          <w:p w14:paraId="10907472"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40 / 60</w:t>
            </w:r>
          </w:p>
        </w:tc>
        <w:tc>
          <w:tcPr>
            <w:tcW w:w="766" w:type="pct"/>
            <w:hideMark/>
          </w:tcPr>
          <w:p w14:paraId="10CFE673"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45 / 55</w:t>
            </w:r>
          </w:p>
        </w:tc>
      </w:tr>
      <w:tr w:rsidR="00630025" w:rsidRPr="00630025" w14:paraId="604E3CBB" w14:textId="77777777" w:rsidTr="00630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 w:type="pct"/>
            <w:hideMark/>
          </w:tcPr>
          <w:p w14:paraId="316E4D4B"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M3</w:t>
            </w:r>
          </w:p>
        </w:tc>
        <w:tc>
          <w:tcPr>
            <w:tcW w:w="505" w:type="pct"/>
            <w:hideMark/>
          </w:tcPr>
          <w:p w14:paraId="6F980A9D"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67</w:t>
            </w:r>
          </w:p>
        </w:tc>
        <w:tc>
          <w:tcPr>
            <w:tcW w:w="743" w:type="pct"/>
            <w:hideMark/>
          </w:tcPr>
          <w:p w14:paraId="36DC171B"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31</w:t>
            </w:r>
          </w:p>
        </w:tc>
        <w:tc>
          <w:tcPr>
            <w:tcW w:w="444" w:type="pct"/>
            <w:hideMark/>
          </w:tcPr>
          <w:p w14:paraId="346F3A34"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46.3</w:t>
            </w:r>
          </w:p>
        </w:tc>
        <w:tc>
          <w:tcPr>
            <w:tcW w:w="789" w:type="pct"/>
            <w:hideMark/>
          </w:tcPr>
          <w:p w14:paraId="2A18BD1A"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36</w:t>
            </w:r>
          </w:p>
        </w:tc>
        <w:tc>
          <w:tcPr>
            <w:tcW w:w="452" w:type="pct"/>
            <w:hideMark/>
          </w:tcPr>
          <w:p w14:paraId="121B4A9E"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53.7</w:t>
            </w:r>
          </w:p>
        </w:tc>
        <w:tc>
          <w:tcPr>
            <w:tcW w:w="836" w:type="pct"/>
            <w:hideMark/>
          </w:tcPr>
          <w:p w14:paraId="3C0A3D68"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46 / 54</w:t>
            </w:r>
          </w:p>
        </w:tc>
        <w:tc>
          <w:tcPr>
            <w:tcW w:w="766" w:type="pct"/>
            <w:hideMark/>
          </w:tcPr>
          <w:p w14:paraId="6FE2867C"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45 / 55</w:t>
            </w:r>
          </w:p>
        </w:tc>
      </w:tr>
      <w:tr w:rsidR="00630025" w:rsidRPr="00630025" w14:paraId="1050AD91" w14:textId="77777777" w:rsidTr="00630025">
        <w:trPr>
          <w:trHeight w:val="300"/>
        </w:trPr>
        <w:tc>
          <w:tcPr>
            <w:cnfStyle w:val="001000000000" w:firstRow="0" w:lastRow="0" w:firstColumn="1" w:lastColumn="0" w:oddVBand="0" w:evenVBand="0" w:oddHBand="0" w:evenHBand="0" w:firstRowFirstColumn="0" w:firstRowLastColumn="0" w:lastRowFirstColumn="0" w:lastRowLastColumn="0"/>
            <w:tcW w:w="464" w:type="pct"/>
            <w:hideMark/>
          </w:tcPr>
          <w:p w14:paraId="347CAB2D"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M2</w:t>
            </w:r>
          </w:p>
        </w:tc>
        <w:tc>
          <w:tcPr>
            <w:tcW w:w="505" w:type="pct"/>
            <w:hideMark/>
          </w:tcPr>
          <w:p w14:paraId="2DBF9DA3"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125</w:t>
            </w:r>
          </w:p>
        </w:tc>
        <w:tc>
          <w:tcPr>
            <w:tcW w:w="743" w:type="pct"/>
            <w:hideMark/>
          </w:tcPr>
          <w:p w14:paraId="2B0F4A36"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78</w:t>
            </w:r>
          </w:p>
        </w:tc>
        <w:tc>
          <w:tcPr>
            <w:tcW w:w="444" w:type="pct"/>
            <w:hideMark/>
          </w:tcPr>
          <w:p w14:paraId="049EC4D9"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62.4</w:t>
            </w:r>
          </w:p>
        </w:tc>
        <w:tc>
          <w:tcPr>
            <w:tcW w:w="789" w:type="pct"/>
            <w:hideMark/>
          </w:tcPr>
          <w:p w14:paraId="59F27A65"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47</w:t>
            </w:r>
          </w:p>
        </w:tc>
        <w:tc>
          <w:tcPr>
            <w:tcW w:w="452" w:type="pct"/>
            <w:hideMark/>
          </w:tcPr>
          <w:p w14:paraId="464E4C0F"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37.6</w:t>
            </w:r>
          </w:p>
        </w:tc>
        <w:tc>
          <w:tcPr>
            <w:tcW w:w="836" w:type="pct"/>
            <w:hideMark/>
          </w:tcPr>
          <w:p w14:paraId="44C8AD59"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62 / 38</w:t>
            </w:r>
          </w:p>
        </w:tc>
        <w:tc>
          <w:tcPr>
            <w:tcW w:w="766" w:type="pct"/>
            <w:hideMark/>
          </w:tcPr>
          <w:p w14:paraId="61AEF743"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64 / 36</w:t>
            </w:r>
          </w:p>
        </w:tc>
      </w:tr>
      <w:tr w:rsidR="00630025" w:rsidRPr="00630025" w14:paraId="74AD8B4D" w14:textId="77777777" w:rsidTr="00630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 w:type="pct"/>
            <w:hideMark/>
          </w:tcPr>
          <w:p w14:paraId="021F608E"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M1</w:t>
            </w:r>
          </w:p>
        </w:tc>
        <w:tc>
          <w:tcPr>
            <w:tcW w:w="505" w:type="pct"/>
            <w:hideMark/>
          </w:tcPr>
          <w:p w14:paraId="08C7E901"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72</w:t>
            </w:r>
          </w:p>
        </w:tc>
        <w:tc>
          <w:tcPr>
            <w:tcW w:w="743" w:type="pct"/>
            <w:hideMark/>
          </w:tcPr>
          <w:p w14:paraId="78426E6E"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38</w:t>
            </w:r>
          </w:p>
        </w:tc>
        <w:tc>
          <w:tcPr>
            <w:tcW w:w="444" w:type="pct"/>
            <w:hideMark/>
          </w:tcPr>
          <w:p w14:paraId="27936318"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52.8</w:t>
            </w:r>
          </w:p>
        </w:tc>
        <w:tc>
          <w:tcPr>
            <w:tcW w:w="789" w:type="pct"/>
            <w:hideMark/>
          </w:tcPr>
          <w:p w14:paraId="5C4D6510"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34</w:t>
            </w:r>
          </w:p>
        </w:tc>
        <w:tc>
          <w:tcPr>
            <w:tcW w:w="452" w:type="pct"/>
            <w:hideMark/>
          </w:tcPr>
          <w:p w14:paraId="202AEC62"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47.2</w:t>
            </w:r>
          </w:p>
        </w:tc>
        <w:tc>
          <w:tcPr>
            <w:tcW w:w="836" w:type="pct"/>
            <w:hideMark/>
          </w:tcPr>
          <w:p w14:paraId="29BB2FB7"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53 / 47</w:t>
            </w:r>
          </w:p>
        </w:tc>
        <w:tc>
          <w:tcPr>
            <w:tcW w:w="766" w:type="pct"/>
            <w:hideMark/>
          </w:tcPr>
          <w:p w14:paraId="0D22373B"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55 / 45</w:t>
            </w:r>
          </w:p>
        </w:tc>
      </w:tr>
      <w:tr w:rsidR="00630025" w:rsidRPr="00630025" w14:paraId="6B14AB56" w14:textId="77777777" w:rsidTr="00630025">
        <w:trPr>
          <w:trHeight w:val="300"/>
        </w:trPr>
        <w:tc>
          <w:tcPr>
            <w:cnfStyle w:val="001000000000" w:firstRow="0" w:lastRow="0" w:firstColumn="1" w:lastColumn="0" w:oddVBand="0" w:evenVBand="0" w:oddHBand="0" w:evenHBand="0" w:firstRowFirstColumn="0" w:firstRowLastColumn="0" w:lastRowFirstColumn="0" w:lastRowLastColumn="0"/>
            <w:tcW w:w="464" w:type="pct"/>
            <w:hideMark/>
          </w:tcPr>
          <w:p w14:paraId="40C60401"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E2</w:t>
            </w:r>
          </w:p>
        </w:tc>
        <w:tc>
          <w:tcPr>
            <w:tcW w:w="505" w:type="pct"/>
            <w:hideMark/>
          </w:tcPr>
          <w:p w14:paraId="07947E19"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53</w:t>
            </w:r>
          </w:p>
        </w:tc>
        <w:tc>
          <w:tcPr>
            <w:tcW w:w="743" w:type="pct"/>
            <w:hideMark/>
          </w:tcPr>
          <w:p w14:paraId="66B62F7D"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24</w:t>
            </w:r>
          </w:p>
        </w:tc>
        <w:tc>
          <w:tcPr>
            <w:tcW w:w="444" w:type="pct"/>
            <w:hideMark/>
          </w:tcPr>
          <w:p w14:paraId="7648C744"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45.3</w:t>
            </w:r>
          </w:p>
        </w:tc>
        <w:tc>
          <w:tcPr>
            <w:tcW w:w="789" w:type="pct"/>
            <w:hideMark/>
          </w:tcPr>
          <w:p w14:paraId="61117B61"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29</w:t>
            </w:r>
          </w:p>
        </w:tc>
        <w:tc>
          <w:tcPr>
            <w:tcW w:w="452" w:type="pct"/>
            <w:hideMark/>
          </w:tcPr>
          <w:p w14:paraId="76B725DB"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54.7</w:t>
            </w:r>
          </w:p>
        </w:tc>
        <w:tc>
          <w:tcPr>
            <w:tcW w:w="836" w:type="pct"/>
            <w:hideMark/>
          </w:tcPr>
          <w:p w14:paraId="6B3438CB"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45 / 55</w:t>
            </w:r>
          </w:p>
        </w:tc>
        <w:tc>
          <w:tcPr>
            <w:tcW w:w="766" w:type="pct"/>
            <w:hideMark/>
          </w:tcPr>
          <w:p w14:paraId="4D73B5DD"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43 / 57</w:t>
            </w:r>
          </w:p>
        </w:tc>
      </w:tr>
      <w:tr w:rsidR="00630025" w:rsidRPr="00630025" w14:paraId="01AC1BAD" w14:textId="77777777" w:rsidTr="00630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 w:type="pct"/>
            <w:hideMark/>
          </w:tcPr>
          <w:p w14:paraId="12FDEA19"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E1</w:t>
            </w:r>
          </w:p>
        </w:tc>
        <w:tc>
          <w:tcPr>
            <w:tcW w:w="505" w:type="pct"/>
            <w:hideMark/>
          </w:tcPr>
          <w:p w14:paraId="320A6B45"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14</w:t>
            </w:r>
          </w:p>
        </w:tc>
        <w:tc>
          <w:tcPr>
            <w:tcW w:w="743" w:type="pct"/>
            <w:hideMark/>
          </w:tcPr>
          <w:p w14:paraId="54C1F3A8"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8</w:t>
            </w:r>
          </w:p>
        </w:tc>
        <w:tc>
          <w:tcPr>
            <w:tcW w:w="444" w:type="pct"/>
            <w:hideMark/>
          </w:tcPr>
          <w:p w14:paraId="2FAD59B6"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57.1</w:t>
            </w:r>
          </w:p>
        </w:tc>
        <w:tc>
          <w:tcPr>
            <w:tcW w:w="789" w:type="pct"/>
            <w:hideMark/>
          </w:tcPr>
          <w:p w14:paraId="28576140"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6</w:t>
            </w:r>
          </w:p>
        </w:tc>
        <w:tc>
          <w:tcPr>
            <w:tcW w:w="452" w:type="pct"/>
            <w:hideMark/>
          </w:tcPr>
          <w:p w14:paraId="3B3AAEB0"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42.9</w:t>
            </w:r>
          </w:p>
        </w:tc>
        <w:tc>
          <w:tcPr>
            <w:tcW w:w="836" w:type="pct"/>
            <w:hideMark/>
          </w:tcPr>
          <w:p w14:paraId="554C78FE"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57 / 43</w:t>
            </w:r>
          </w:p>
        </w:tc>
        <w:tc>
          <w:tcPr>
            <w:tcW w:w="766" w:type="pct"/>
            <w:hideMark/>
          </w:tcPr>
          <w:p w14:paraId="71CA870E"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57 / 42</w:t>
            </w:r>
          </w:p>
        </w:tc>
      </w:tr>
      <w:tr w:rsidR="00630025" w:rsidRPr="00630025" w14:paraId="7544CDBD" w14:textId="77777777" w:rsidTr="00630025">
        <w:trPr>
          <w:trHeight w:val="300"/>
        </w:trPr>
        <w:tc>
          <w:tcPr>
            <w:cnfStyle w:val="001000000000" w:firstRow="0" w:lastRow="0" w:firstColumn="1" w:lastColumn="0" w:oddVBand="0" w:evenVBand="0" w:oddHBand="0" w:evenHBand="0" w:firstRowFirstColumn="0" w:firstRowLastColumn="0" w:lastRowFirstColumn="0" w:lastRowLastColumn="0"/>
            <w:tcW w:w="464" w:type="pct"/>
            <w:hideMark/>
          </w:tcPr>
          <w:p w14:paraId="42AE6B6D"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Senior</w:t>
            </w:r>
          </w:p>
        </w:tc>
        <w:tc>
          <w:tcPr>
            <w:tcW w:w="505" w:type="pct"/>
            <w:hideMark/>
          </w:tcPr>
          <w:p w14:paraId="385C1B8D"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5</w:t>
            </w:r>
          </w:p>
        </w:tc>
        <w:tc>
          <w:tcPr>
            <w:tcW w:w="743" w:type="pct"/>
            <w:hideMark/>
          </w:tcPr>
          <w:p w14:paraId="4099D0BB"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w:t>
            </w:r>
          </w:p>
        </w:tc>
        <w:tc>
          <w:tcPr>
            <w:tcW w:w="444" w:type="pct"/>
            <w:hideMark/>
          </w:tcPr>
          <w:p w14:paraId="67E96DF9"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40.0</w:t>
            </w:r>
          </w:p>
        </w:tc>
        <w:tc>
          <w:tcPr>
            <w:tcW w:w="789" w:type="pct"/>
            <w:hideMark/>
          </w:tcPr>
          <w:p w14:paraId="012CD3B6"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3</w:t>
            </w:r>
          </w:p>
        </w:tc>
        <w:tc>
          <w:tcPr>
            <w:tcW w:w="452" w:type="pct"/>
            <w:hideMark/>
          </w:tcPr>
          <w:p w14:paraId="2FC28FF6"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60.0</w:t>
            </w:r>
          </w:p>
        </w:tc>
        <w:tc>
          <w:tcPr>
            <w:tcW w:w="836" w:type="pct"/>
            <w:hideMark/>
          </w:tcPr>
          <w:p w14:paraId="5619959A"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40 / 60</w:t>
            </w:r>
          </w:p>
        </w:tc>
        <w:tc>
          <w:tcPr>
            <w:tcW w:w="766" w:type="pct"/>
            <w:hideMark/>
          </w:tcPr>
          <w:p w14:paraId="2E8D13FE"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40 / 60</w:t>
            </w:r>
          </w:p>
        </w:tc>
      </w:tr>
      <w:tr w:rsidR="00630025" w:rsidRPr="00630025" w14:paraId="0C622386" w14:textId="77777777" w:rsidTr="00630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 w:type="pct"/>
            <w:noWrap/>
            <w:hideMark/>
          </w:tcPr>
          <w:p w14:paraId="6B95BD06"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Total</w:t>
            </w:r>
          </w:p>
        </w:tc>
        <w:tc>
          <w:tcPr>
            <w:tcW w:w="505" w:type="pct"/>
            <w:noWrap/>
            <w:hideMark/>
          </w:tcPr>
          <w:p w14:paraId="6A8188A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466</w:t>
            </w:r>
          </w:p>
        </w:tc>
        <w:tc>
          <w:tcPr>
            <w:tcW w:w="743" w:type="pct"/>
            <w:noWrap/>
            <w:hideMark/>
          </w:tcPr>
          <w:p w14:paraId="0663BFFE"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233</w:t>
            </w:r>
          </w:p>
        </w:tc>
        <w:tc>
          <w:tcPr>
            <w:tcW w:w="444" w:type="pct"/>
            <w:hideMark/>
          </w:tcPr>
          <w:p w14:paraId="3BC92088"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50.0</w:t>
            </w:r>
          </w:p>
        </w:tc>
        <w:tc>
          <w:tcPr>
            <w:tcW w:w="789" w:type="pct"/>
            <w:noWrap/>
            <w:hideMark/>
          </w:tcPr>
          <w:p w14:paraId="2DF1D028"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233</w:t>
            </w:r>
          </w:p>
        </w:tc>
        <w:tc>
          <w:tcPr>
            <w:tcW w:w="452" w:type="pct"/>
            <w:hideMark/>
          </w:tcPr>
          <w:p w14:paraId="30CB64B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50.0</w:t>
            </w:r>
          </w:p>
        </w:tc>
        <w:tc>
          <w:tcPr>
            <w:tcW w:w="836" w:type="pct"/>
            <w:hideMark/>
          </w:tcPr>
          <w:p w14:paraId="05E2FC86"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50 / 50</w:t>
            </w:r>
          </w:p>
        </w:tc>
        <w:tc>
          <w:tcPr>
            <w:tcW w:w="766" w:type="pct"/>
            <w:hideMark/>
          </w:tcPr>
          <w:p w14:paraId="6FFE5DD2"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52 / 48</w:t>
            </w:r>
          </w:p>
        </w:tc>
      </w:tr>
    </w:tbl>
    <w:p w14:paraId="460861AF" w14:textId="77777777" w:rsidR="00630025" w:rsidRPr="00630025" w:rsidRDefault="00630025" w:rsidP="00616F86">
      <w:pPr>
        <w:pStyle w:val="3Copy-text"/>
      </w:pPr>
      <w:r w:rsidRPr="00630025">
        <w:t>*including apprentices</w:t>
      </w:r>
    </w:p>
    <w:p w14:paraId="02587A7C" w14:textId="4A98629F" w:rsidR="00630025" w:rsidRDefault="00630025" w:rsidP="00630025">
      <w:pPr>
        <w:spacing w:before="0" w:after="160" w:line="259" w:lineRule="auto"/>
        <w:rPr>
          <w:rFonts w:eastAsia="Lucida Sans" w:cs="Times New Roman"/>
          <w:color w:val="414042"/>
          <w:kern w:val="24"/>
        </w:rPr>
      </w:pPr>
      <w:r w:rsidRPr="00630025">
        <w:rPr>
          <w:rFonts w:eastAsia="Lucida Sans" w:cs="Times New Roman"/>
          <w:color w:val="414042"/>
          <w:kern w:val="24"/>
        </w:rPr>
        <w:t>Disclosure rate: 100%</w:t>
      </w:r>
    </w:p>
    <w:p w14:paraId="175FA9EC" w14:textId="49F8428B" w:rsidR="00A03923" w:rsidRDefault="00A03923">
      <w:pPr>
        <w:rPr>
          <w:rFonts w:eastAsia="Lucida Sans" w:cs="Times New Roman"/>
          <w:color w:val="414042"/>
          <w:kern w:val="24"/>
        </w:rPr>
      </w:pPr>
      <w:r>
        <w:rPr>
          <w:rFonts w:eastAsia="Lucida Sans" w:cs="Times New Roman"/>
          <w:color w:val="414042"/>
          <w:kern w:val="24"/>
        </w:rPr>
        <w:br w:type="page"/>
      </w:r>
    </w:p>
    <w:p w14:paraId="54DE5F46" w14:textId="77777777" w:rsidR="00630025" w:rsidRPr="00630025" w:rsidRDefault="00630025" w:rsidP="00630025">
      <w:pPr>
        <w:spacing w:before="0" w:after="160" w:line="259" w:lineRule="auto"/>
        <w:rPr>
          <w:rFonts w:eastAsia="Lucida Sans" w:cs="Times New Roman"/>
          <w:color w:val="414042"/>
          <w:kern w:val="24"/>
        </w:rPr>
      </w:pPr>
      <w:r w:rsidRPr="00630025">
        <w:rPr>
          <w:rFonts w:eastAsia="Lucida Sans" w:cs="Times New Roman"/>
          <w:color w:val="414042"/>
          <w:kern w:val="24"/>
        </w:rPr>
        <w:lastRenderedPageBreak/>
        <w:t>Analysis:</w:t>
      </w:r>
    </w:p>
    <w:p w14:paraId="71F9DB2A" w14:textId="293F762B" w:rsidR="00630025" w:rsidRPr="00630025" w:rsidRDefault="00630025" w:rsidP="00630025">
      <w:pPr>
        <w:pStyle w:val="4Bulletlist"/>
      </w:pPr>
      <w:r w:rsidRPr="00630025">
        <w:t>This reporting period sees an equal 50:50 split between women and men in our overall workforce composition which has equalised from last year’s 52:48 ratio for women and men respectively;</w:t>
      </w:r>
    </w:p>
    <w:p w14:paraId="1959D930" w14:textId="5CA61548" w:rsidR="00630025" w:rsidRPr="00630025" w:rsidRDefault="00630025" w:rsidP="00030FBC">
      <w:pPr>
        <w:pStyle w:val="4Bulletlist"/>
      </w:pPr>
      <w:r w:rsidRPr="00630025">
        <w:t xml:space="preserve">There also appears to be a relatively even gender distribution across the grades with the exception of the differential at TS grade with a 40:60 split for women and men and the differential of 62:38 at M2 grade where there are more women than men. This could be explained because of the prevalence of men at TS grade in the Security </w:t>
      </w:r>
      <w:proofErr w:type="gramStart"/>
      <w:r w:rsidRPr="00630025">
        <w:t>Team which</w:t>
      </w:r>
      <w:proofErr w:type="gramEnd"/>
      <w:r w:rsidRPr="00630025">
        <w:t xml:space="preserve"> we have taken steps to address by attempting to attract more women into the Security Team. The differential at M2 could be due to the preponderance of women in the Translation and Reporting Service;</w:t>
      </w:r>
    </w:p>
    <w:p w14:paraId="26EDD4E4" w14:textId="64DAE6EB" w:rsidR="00630025" w:rsidRPr="00630025" w:rsidRDefault="00630025" w:rsidP="00630025">
      <w:pPr>
        <w:pStyle w:val="4Bulletlist"/>
      </w:pPr>
      <w:r w:rsidRPr="00630025">
        <w:t>The data shows that the gender distribution across the manager grades (M3 to Senior) from the last reporting period where 54.4% of women were managers and 45.6% of men were managers has remained fairly static to 54.1% and 45.9% respectively in this reporting period; and</w:t>
      </w:r>
    </w:p>
    <w:p w14:paraId="60D9CEEC" w14:textId="08AB9385" w:rsidR="00630025" w:rsidRDefault="00630025" w:rsidP="00630025">
      <w:pPr>
        <w:pStyle w:val="4Bulletlist"/>
      </w:pPr>
      <w:r w:rsidRPr="00630025">
        <w:t>As of the last reporting period, this reporting period sees the top two tiers of decision-makers at E1 and Senior grades consist of 53% women which exceeds the ambition set out in the 50:50 by 2020 Campaign.</w:t>
      </w:r>
    </w:p>
    <w:p w14:paraId="1EE419A4" w14:textId="4F79C5AB" w:rsidR="00630025" w:rsidRDefault="00630025">
      <w:pPr>
        <w:spacing w:before="0" w:after="160" w:line="259" w:lineRule="auto"/>
        <w:rPr>
          <w:rFonts w:eastAsia="Lucida Sans" w:cs="Times New Roman"/>
          <w:color w:val="414042"/>
          <w:kern w:val="24"/>
        </w:rPr>
      </w:pPr>
      <w:r>
        <w:rPr>
          <w:rFonts w:eastAsia="Lucida Sans" w:cs="Times New Roman"/>
          <w:color w:val="414042"/>
          <w:kern w:val="24"/>
        </w:rPr>
        <w:br w:type="page"/>
      </w:r>
    </w:p>
    <w:p w14:paraId="2B9594CD" w14:textId="550AA382" w:rsidR="00616F86" w:rsidRDefault="00616F86" w:rsidP="00616F86">
      <w:pPr>
        <w:pStyle w:val="Caption"/>
        <w:keepNext/>
      </w:pPr>
      <w:r>
        <w:lastRenderedPageBreak/>
        <w:t xml:space="preserve">Table </w:t>
      </w:r>
      <w:fldSimple w:instr=" SEQ Table \* ARABIC ">
        <w:r w:rsidR="00332158">
          <w:rPr>
            <w:noProof/>
          </w:rPr>
          <w:t>7</w:t>
        </w:r>
      </w:fldSimple>
      <w:r>
        <w:t xml:space="preserve">: </w:t>
      </w:r>
      <w:r w:rsidRPr="007B1F1B">
        <w:t>External Recruitment by Gender</w:t>
      </w:r>
    </w:p>
    <w:tbl>
      <w:tblPr>
        <w:tblStyle w:val="GridTable4-Accent4"/>
        <w:tblW w:w="0" w:type="auto"/>
        <w:tblLayout w:type="fixed"/>
        <w:tblLook w:val="04A0" w:firstRow="1" w:lastRow="0" w:firstColumn="1" w:lastColumn="0" w:noHBand="0" w:noVBand="1"/>
      </w:tblPr>
      <w:tblGrid>
        <w:gridCol w:w="1553"/>
        <w:gridCol w:w="1092"/>
        <w:gridCol w:w="1618"/>
        <w:gridCol w:w="1092"/>
        <w:gridCol w:w="2125"/>
        <w:gridCol w:w="1162"/>
        <w:gridCol w:w="2240"/>
        <w:gridCol w:w="1275"/>
        <w:gridCol w:w="1349"/>
        <w:gridCol w:w="1137"/>
      </w:tblGrid>
      <w:tr w:rsidR="00630025" w:rsidRPr="00630025" w14:paraId="4CB920B4" w14:textId="77777777" w:rsidTr="00630025">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553" w:type="dxa"/>
          </w:tcPr>
          <w:p w14:paraId="5BEC6311" w14:textId="77777777" w:rsidR="00630025" w:rsidRPr="00630025" w:rsidRDefault="00630025" w:rsidP="00630025">
            <w:pPr>
              <w:spacing w:before="0" w:after="200" w:line="264" w:lineRule="auto"/>
              <w:rPr>
                <w:rFonts w:eastAsia="Calibri" w:cs="Times New Roman"/>
              </w:rPr>
            </w:pPr>
          </w:p>
        </w:tc>
        <w:tc>
          <w:tcPr>
            <w:tcW w:w="2710" w:type="dxa"/>
            <w:gridSpan w:val="2"/>
            <w:hideMark/>
          </w:tcPr>
          <w:p w14:paraId="16A1693B"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Applications received</w:t>
            </w:r>
          </w:p>
        </w:tc>
        <w:tc>
          <w:tcPr>
            <w:tcW w:w="3217" w:type="dxa"/>
            <w:gridSpan w:val="2"/>
            <w:hideMark/>
          </w:tcPr>
          <w:p w14:paraId="494EBF0B"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Successful at sift</w:t>
            </w:r>
          </w:p>
        </w:tc>
        <w:tc>
          <w:tcPr>
            <w:tcW w:w="3402" w:type="dxa"/>
            <w:gridSpan w:val="2"/>
            <w:hideMark/>
          </w:tcPr>
          <w:p w14:paraId="6D03F531"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Offer of employment</w:t>
            </w:r>
          </w:p>
        </w:tc>
        <w:tc>
          <w:tcPr>
            <w:tcW w:w="1275" w:type="dxa"/>
            <w:hideMark/>
          </w:tcPr>
          <w:p w14:paraId="4BE23DBB"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Overall success rate</w:t>
            </w:r>
          </w:p>
        </w:tc>
        <w:tc>
          <w:tcPr>
            <w:tcW w:w="1349" w:type="dxa"/>
            <w:hideMark/>
          </w:tcPr>
          <w:p w14:paraId="4166FC2F"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Overall success rate 2015-16</w:t>
            </w:r>
          </w:p>
        </w:tc>
        <w:tc>
          <w:tcPr>
            <w:tcW w:w="1137" w:type="dxa"/>
            <w:hideMark/>
          </w:tcPr>
          <w:p w14:paraId="26E57B55"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 of total job offers</w:t>
            </w:r>
          </w:p>
        </w:tc>
      </w:tr>
      <w:tr w:rsidR="00630025" w:rsidRPr="00630025" w14:paraId="70D18A02" w14:textId="77777777" w:rsidTr="00140B2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553" w:type="dxa"/>
          </w:tcPr>
          <w:p w14:paraId="75287566" w14:textId="77777777" w:rsidR="00630025" w:rsidRPr="00630025" w:rsidRDefault="00630025" w:rsidP="00630025">
            <w:pPr>
              <w:spacing w:before="0" w:after="200" w:line="264" w:lineRule="auto"/>
              <w:rPr>
                <w:rFonts w:eastAsia="Calibri" w:cs="Times New Roman"/>
                <w:color w:val="000000"/>
              </w:rPr>
            </w:pPr>
          </w:p>
        </w:tc>
        <w:tc>
          <w:tcPr>
            <w:tcW w:w="1092" w:type="dxa"/>
            <w:hideMark/>
          </w:tcPr>
          <w:p w14:paraId="2C2CCC5B"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 w:val="22"/>
              </w:rPr>
            </w:pPr>
            <w:r w:rsidRPr="00630025">
              <w:rPr>
                <w:rFonts w:eastAsia="Calibri" w:cs="Times New Roman"/>
                <w:b/>
                <w:color w:val="000000"/>
                <w:sz w:val="22"/>
              </w:rPr>
              <w:t>number</w:t>
            </w:r>
          </w:p>
        </w:tc>
        <w:tc>
          <w:tcPr>
            <w:tcW w:w="1618" w:type="dxa"/>
            <w:hideMark/>
          </w:tcPr>
          <w:p w14:paraId="4DA8941A"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 w:val="22"/>
              </w:rPr>
            </w:pPr>
            <w:r w:rsidRPr="00630025">
              <w:rPr>
                <w:rFonts w:eastAsia="Calibri" w:cs="Times New Roman"/>
                <w:b/>
                <w:color w:val="000000"/>
                <w:sz w:val="22"/>
              </w:rPr>
              <w:t>% of total application</w:t>
            </w:r>
          </w:p>
        </w:tc>
        <w:tc>
          <w:tcPr>
            <w:tcW w:w="1092" w:type="dxa"/>
            <w:hideMark/>
          </w:tcPr>
          <w:p w14:paraId="57468981"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 w:val="22"/>
              </w:rPr>
            </w:pPr>
            <w:r w:rsidRPr="00630025">
              <w:rPr>
                <w:rFonts w:eastAsia="Calibri" w:cs="Times New Roman"/>
                <w:b/>
                <w:color w:val="000000"/>
                <w:sz w:val="22"/>
              </w:rPr>
              <w:t>number</w:t>
            </w:r>
          </w:p>
        </w:tc>
        <w:tc>
          <w:tcPr>
            <w:tcW w:w="2125" w:type="dxa"/>
            <w:hideMark/>
          </w:tcPr>
          <w:p w14:paraId="4815EE75"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 w:val="22"/>
              </w:rPr>
            </w:pPr>
            <w:r w:rsidRPr="00630025">
              <w:rPr>
                <w:rFonts w:eastAsia="Calibri" w:cs="Times New Roman"/>
                <w:b/>
                <w:color w:val="000000"/>
                <w:sz w:val="22"/>
              </w:rPr>
              <w:t>% of applications successful at sift</w:t>
            </w:r>
          </w:p>
        </w:tc>
        <w:tc>
          <w:tcPr>
            <w:tcW w:w="1162" w:type="dxa"/>
            <w:hideMark/>
          </w:tcPr>
          <w:p w14:paraId="0C69DB1E"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 w:val="22"/>
              </w:rPr>
            </w:pPr>
            <w:r w:rsidRPr="00630025">
              <w:rPr>
                <w:rFonts w:eastAsia="Calibri" w:cs="Times New Roman"/>
                <w:b/>
                <w:color w:val="000000"/>
                <w:sz w:val="22"/>
              </w:rPr>
              <w:t>number</w:t>
            </w:r>
          </w:p>
        </w:tc>
        <w:tc>
          <w:tcPr>
            <w:tcW w:w="2240" w:type="dxa"/>
            <w:hideMark/>
          </w:tcPr>
          <w:p w14:paraId="5407D4DB"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 w:val="22"/>
              </w:rPr>
            </w:pPr>
            <w:r w:rsidRPr="00630025">
              <w:rPr>
                <w:rFonts w:eastAsia="Calibri" w:cs="Times New Roman"/>
                <w:b/>
                <w:color w:val="000000"/>
                <w:sz w:val="22"/>
              </w:rPr>
              <w:t>% of those successful at sift offered employment</w:t>
            </w:r>
          </w:p>
        </w:tc>
        <w:tc>
          <w:tcPr>
            <w:tcW w:w="1275" w:type="dxa"/>
            <w:hideMark/>
          </w:tcPr>
          <w:p w14:paraId="4B7DAFEC"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 w:val="22"/>
              </w:rPr>
            </w:pPr>
            <w:r w:rsidRPr="00630025">
              <w:rPr>
                <w:rFonts w:eastAsia="Calibri" w:cs="Times New Roman"/>
                <w:b/>
                <w:color w:val="000000"/>
                <w:sz w:val="22"/>
              </w:rPr>
              <w:t>%</w:t>
            </w:r>
          </w:p>
        </w:tc>
        <w:tc>
          <w:tcPr>
            <w:tcW w:w="1349" w:type="dxa"/>
            <w:hideMark/>
          </w:tcPr>
          <w:p w14:paraId="2FD2CCD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 w:val="22"/>
              </w:rPr>
            </w:pPr>
            <w:r w:rsidRPr="00630025">
              <w:rPr>
                <w:rFonts w:eastAsia="Calibri" w:cs="Times New Roman"/>
                <w:b/>
                <w:color w:val="000000"/>
                <w:sz w:val="22"/>
              </w:rPr>
              <w:t>%</w:t>
            </w:r>
          </w:p>
        </w:tc>
        <w:tc>
          <w:tcPr>
            <w:tcW w:w="1137" w:type="dxa"/>
            <w:hideMark/>
          </w:tcPr>
          <w:p w14:paraId="45087732"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sz w:val="22"/>
              </w:rPr>
            </w:pPr>
            <w:r w:rsidRPr="00630025">
              <w:rPr>
                <w:rFonts w:eastAsia="Calibri" w:cs="Times New Roman"/>
                <w:b/>
                <w:color w:val="000000"/>
                <w:sz w:val="22"/>
              </w:rPr>
              <w:t>%</w:t>
            </w:r>
          </w:p>
        </w:tc>
      </w:tr>
      <w:tr w:rsidR="00630025" w:rsidRPr="00630025" w14:paraId="1D72607A" w14:textId="77777777" w:rsidTr="00140B2F">
        <w:trPr>
          <w:trHeight w:val="298"/>
        </w:trPr>
        <w:tc>
          <w:tcPr>
            <w:cnfStyle w:val="001000000000" w:firstRow="0" w:lastRow="0" w:firstColumn="1" w:lastColumn="0" w:oddVBand="0" w:evenVBand="0" w:oddHBand="0" w:evenHBand="0" w:firstRowFirstColumn="0" w:firstRowLastColumn="0" w:lastRowFirstColumn="0" w:lastRowLastColumn="0"/>
            <w:tcW w:w="1553" w:type="dxa"/>
            <w:hideMark/>
          </w:tcPr>
          <w:p w14:paraId="31A86E8E"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Female</w:t>
            </w:r>
          </w:p>
        </w:tc>
        <w:tc>
          <w:tcPr>
            <w:tcW w:w="1092" w:type="dxa"/>
            <w:hideMark/>
          </w:tcPr>
          <w:p w14:paraId="25A612EE"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315</w:t>
            </w:r>
          </w:p>
        </w:tc>
        <w:tc>
          <w:tcPr>
            <w:tcW w:w="1618" w:type="dxa"/>
            <w:hideMark/>
          </w:tcPr>
          <w:p w14:paraId="6F310A07"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46.8</w:t>
            </w:r>
          </w:p>
        </w:tc>
        <w:tc>
          <w:tcPr>
            <w:tcW w:w="1092" w:type="dxa"/>
            <w:hideMark/>
          </w:tcPr>
          <w:p w14:paraId="475A9904"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125</w:t>
            </w:r>
          </w:p>
        </w:tc>
        <w:tc>
          <w:tcPr>
            <w:tcW w:w="2125" w:type="dxa"/>
            <w:hideMark/>
          </w:tcPr>
          <w:p w14:paraId="79AD0CA3"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39.7</w:t>
            </w:r>
          </w:p>
        </w:tc>
        <w:tc>
          <w:tcPr>
            <w:tcW w:w="1162" w:type="dxa"/>
            <w:hideMark/>
          </w:tcPr>
          <w:p w14:paraId="7ECAAF6A"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26</w:t>
            </w:r>
          </w:p>
        </w:tc>
        <w:tc>
          <w:tcPr>
            <w:tcW w:w="2240" w:type="dxa"/>
            <w:hideMark/>
          </w:tcPr>
          <w:p w14:paraId="40B86C6B"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20.8</w:t>
            </w:r>
          </w:p>
        </w:tc>
        <w:tc>
          <w:tcPr>
            <w:tcW w:w="1275" w:type="dxa"/>
            <w:hideMark/>
          </w:tcPr>
          <w:p w14:paraId="7E2428E6"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8.3</w:t>
            </w:r>
          </w:p>
        </w:tc>
        <w:tc>
          <w:tcPr>
            <w:tcW w:w="1349" w:type="dxa"/>
            <w:hideMark/>
          </w:tcPr>
          <w:p w14:paraId="4C41EC33"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4.6</w:t>
            </w:r>
          </w:p>
        </w:tc>
        <w:tc>
          <w:tcPr>
            <w:tcW w:w="1137" w:type="dxa"/>
            <w:hideMark/>
          </w:tcPr>
          <w:p w14:paraId="180F490E"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42.6</w:t>
            </w:r>
          </w:p>
        </w:tc>
      </w:tr>
      <w:tr w:rsidR="00630025" w:rsidRPr="00630025" w14:paraId="5E51434C" w14:textId="77777777" w:rsidTr="00140B2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3" w:type="dxa"/>
            <w:hideMark/>
          </w:tcPr>
          <w:p w14:paraId="47EBD940" w14:textId="6AD85C5C"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Male</w:t>
            </w:r>
          </w:p>
        </w:tc>
        <w:tc>
          <w:tcPr>
            <w:tcW w:w="1092" w:type="dxa"/>
            <w:hideMark/>
          </w:tcPr>
          <w:p w14:paraId="3DFA372E"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347</w:t>
            </w:r>
          </w:p>
        </w:tc>
        <w:tc>
          <w:tcPr>
            <w:tcW w:w="1618" w:type="dxa"/>
            <w:hideMark/>
          </w:tcPr>
          <w:p w14:paraId="4323ABC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51.6</w:t>
            </w:r>
          </w:p>
        </w:tc>
        <w:tc>
          <w:tcPr>
            <w:tcW w:w="1092" w:type="dxa"/>
            <w:hideMark/>
          </w:tcPr>
          <w:p w14:paraId="4A813FB1"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139</w:t>
            </w:r>
          </w:p>
        </w:tc>
        <w:tc>
          <w:tcPr>
            <w:tcW w:w="2125" w:type="dxa"/>
            <w:hideMark/>
          </w:tcPr>
          <w:p w14:paraId="5B7539B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40.1</w:t>
            </w:r>
          </w:p>
        </w:tc>
        <w:tc>
          <w:tcPr>
            <w:tcW w:w="1162" w:type="dxa"/>
            <w:hideMark/>
          </w:tcPr>
          <w:p w14:paraId="3B335E0C"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35</w:t>
            </w:r>
          </w:p>
        </w:tc>
        <w:tc>
          <w:tcPr>
            <w:tcW w:w="2240" w:type="dxa"/>
            <w:hideMark/>
          </w:tcPr>
          <w:p w14:paraId="3CABB9EB"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25.2</w:t>
            </w:r>
          </w:p>
        </w:tc>
        <w:tc>
          <w:tcPr>
            <w:tcW w:w="1275" w:type="dxa"/>
            <w:hideMark/>
          </w:tcPr>
          <w:p w14:paraId="230831C2"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10.1</w:t>
            </w:r>
          </w:p>
        </w:tc>
        <w:tc>
          <w:tcPr>
            <w:tcW w:w="1349" w:type="dxa"/>
            <w:hideMark/>
          </w:tcPr>
          <w:p w14:paraId="0C699A99"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4.4</w:t>
            </w:r>
          </w:p>
        </w:tc>
        <w:tc>
          <w:tcPr>
            <w:tcW w:w="1137" w:type="dxa"/>
            <w:hideMark/>
          </w:tcPr>
          <w:p w14:paraId="4A5C9F1F"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57.4</w:t>
            </w:r>
          </w:p>
        </w:tc>
      </w:tr>
      <w:tr w:rsidR="00630025" w:rsidRPr="00630025" w14:paraId="15AFECF8" w14:textId="77777777" w:rsidTr="00140B2F">
        <w:trPr>
          <w:trHeight w:val="298"/>
        </w:trPr>
        <w:tc>
          <w:tcPr>
            <w:cnfStyle w:val="001000000000" w:firstRow="0" w:lastRow="0" w:firstColumn="1" w:lastColumn="0" w:oddVBand="0" w:evenVBand="0" w:oddHBand="0" w:evenHBand="0" w:firstRowFirstColumn="0" w:firstRowLastColumn="0" w:lastRowFirstColumn="0" w:lastRowLastColumn="0"/>
            <w:tcW w:w="1553" w:type="dxa"/>
            <w:hideMark/>
          </w:tcPr>
          <w:p w14:paraId="6E8FAF0C"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Non-binary and other identity</w:t>
            </w:r>
          </w:p>
        </w:tc>
        <w:tc>
          <w:tcPr>
            <w:tcW w:w="1092" w:type="dxa"/>
            <w:hideMark/>
          </w:tcPr>
          <w:p w14:paraId="193B438B"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1618" w:type="dxa"/>
            <w:hideMark/>
          </w:tcPr>
          <w:p w14:paraId="119AD96E"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1092" w:type="dxa"/>
            <w:hideMark/>
          </w:tcPr>
          <w:p w14:paraId="7C9411B2"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2125" w:type="dxa"/>
            <w:hideMark/>
          </w:tcPr>
          <w:p w14:paraId="5777D778"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1162" w:type="dxa"/>
            <w:hideMark/>
          </w:tcPr>
          <w:p w14:paraId="2B91EF89"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2240" w:type="dxa"/>
            <w:hideMark/>
          </w:tcPr>
          <w:p w14:paraId="189F258D"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1275" w:type="dxa"/>
            <w:hideMark/>
          </w:tcPr>
          <w:p w14:paraId="2C705057"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1349" w:type="dxa"/>
            <w:hideMark/>
          </w:tcPr>
          <w:p w14:paraId="6BC6E355"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w:t>
            </w:r>
          </w:p>
        </w:tc>
        <w:tc>
          <w:tcPr>
            <w:tcW w:w="1137" w:type="dxa"/>
            <w:hideMark/>
          </w:tcPr>
          <w:p w14:paraId="480C29E4"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r>
      <w:tr w:rsidR="00630025" w:rsidRPr="00630025" w14:paraId="429F9407" w14:textId="77777777" w:rsidTr="00140B2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3" w:type="dxa"/>
            <w:hideMark/>
          </w:tcPr>
          <w:p w14:paraId="1922911B"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Prefer not to say</w:t>
            </w:r>
          </w:p>
        </w:tc>
        <w:tc>
          <w:tcPr>
            <w:tcW w:w="1092" w:type="dxa"/>
            <w:hideMark/>
          </w:tcPr>
          <w:p w14:paraId="5E25765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w:t>
            </w:r>
          </w:p>
        </w:tc>
        <w:tc>
          <w:tcPr>
            <w:tcW w:w="1618" w:type="dxa"/>
            <w:hideMark/>
          </w:tcPr>
          <w:p w14:paraId="5E392CDC"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0.4</w:t>
            </w:r>
          </w:p>
        </w:tc>
        <w:tc>
          <w:tcPr>
            <w:tcW w:w="1092" w:type="dxa"/>
            <w:hideMark/>
          </w:tcPr>
          <w:p w14:paraId="527AE48A"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2125" w:type="dxa"/>
            <w:hideMark/>
          </w:tcPr>
          <w:p w14:paraId="4F9E5C32"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1162" w:type="dxa"/>
            <w:hideMark/>
          </w:tcPr>
          <w:p w14:paraId="0943D0BF"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2240" w:type="dxa"/>
            <w:hideMark/>
          </w:tcPr>
          <w:p w14:paraId="09ABD60E"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1275" w:type="dxa"/>
            <w:hideMark/>
          </w:tcPr>
          <w:p w14:paraId="203F801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1349" w:type="dxa"/>
            <w:hideMark/>
          </w:tcPr>
          <w:p w14:paraId="3F211A17"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w:t>
            </w:r>
          </w:p>
        </w:tc>
        <w:tc>
          <w:tcPr>
            <w:tcW w:w="1137" w:type="dxa"/>
            <w:hideMark/>
          </w:tcPr>
          <w:p w14:paraId="73F2BF3E"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r>
      <w:tr w:rsidR="00630025" w:rsidRPr="00630025" w14:paraId="69393170" w14:textId="77777777" w:rsidTr="00140B2F">
        <w:trPr>
          <w:trHeight w:val="298"/>
        </w:trPr>
        <w:tc>
          <w:tcPr>
            <w:cnfStyle w:val="001000000000" w:firstRow="0" w:lastRow="0" w:firstColumn="1" w:lastColumn="0" w:oddVBand="0" w:evenVBand="0" w:oddHBand="0" w:evenHBand="0" w:firstRowFirstColumn="0" w:firstRowLastColumn="0" w:lastRowFirstColumn="0" w:lastRowLastColumn="0"/>
            <w:tcW w:w="1553" w:type="dxa"/>
            <w:hideMark/>
          </w:tcPr>
          <w:p w14:paraId="7EFE9699"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No reply</w:t>
            </w:r>
          </w:p>
        </w:tc>
        <w:tc>
          <w:tcPr>
            <w:tcW w:w="1092" w:type="dxa"/>
            <w:hideMark/>
          </w:tcPr>
          <w:p w14:paraId="07E4656B"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8</w:t>
            </w:r>
          </w:p>
        </w:tc>
        <w:tc>
          <w:tcPr>
            <w:tcW w:w="1618" w:type="dxa"/>
            <w:hideMark/>
          </w:tcPr>
          <w:p w14:paraId="60137AD5"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1.2</w:t>
            </w:r>
          </w:p>
        </w:tc>
        <w:tc>
          <w:tcPr>
            <w:tcW w:w="1092" w:type="dxa"/>
            <w:hideMark/>
          </w:tcPr>
          <w:p w14:paraId="665C29B9"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w:t>
            </w:r>
          </w:p>
        </w:tc>
        <w:tc>
          <w:tcPr>
            <w:tcW w:w="2125" w:type="dxa"/>
            <w:hideMark/>
          </w:tcPr>
          <w:p w14:paraId="78B99112"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12.5</w:t>
            </w:r>
          </w:p>
        </w:tc>
        <w:tc>
          <w:tcPr>
            <w:tcW w:w="1162" w:type="dxa"/>
            <w:hideMark/>
          </w:tcPr>
          <w:p w14:paraId="01FF4AD7"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2240" w:type="dxa"/>
            <w:hideMark/>
          </w:tcPr>
          <w:p w14:paraId="39E6D1C7"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1275" w:type="dxa"/>
            <w:hideMark/>
          </w:tcPr>
          <w:p w14:paraId="670A978F"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1349" w:type="dxa"/>
            <w:hideMark/>
          </w:tcPr>
          <w:p w14:paraId="1C6538BF"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11.1</w:t>
            </w:r>
          </w:p>
        </w:tc>
        <w:tc>
          <w:tcPr>
            <w:tcW w:w="1137" w:type="dxa"/>
            <w:hideMark/>
          </w:tcPr>
          <w:p w14:paraId="723EAB29"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r>
      <w:tr w:rsidR="00630025" w:rsidRPr="00630025" w14:paraId="2AD45021" w14:textId="77777777" w:rsidTr="00140B2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3" w:type="dxa"/>
            <w:hideMark/>
          </w:tcPr>
          <w:p w14:paraId="522A851B"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Total</w:t>
            </w:r>
          </w:p>
        </w:tc>
        <w:tc>
          <w:tcPr>
            <w:tcW w:w="1092" w:type="dxa"/>
            <w:hideMark/>
          </w:tcPr>
          <w:p w14:paraId="44413A78"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673</w:t>
            </w:r>
          </w:p>
        </w:tc>
        <w:tc>
          <w:tcPr>
            <w:tcW w:w="1618" w:type="dxa"/>
            <w:hideMark/>
          </w:tcPr>
          <w:p w14:paraId="156CE962"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100.0</w:t>
            </w:r>
          </w:p>
        </w:tc>
        <w:tc>
          <w:tcPr>
            <w:tcW w:w="1092" w:type="dxa"/>
            <w:hideMark/>
          </w:tcPr>
          <w:p w14:paraId="0E421BA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265</w:t>
            </w:r>
          </w:p>
        </w:tc>
        <w:tc>
          <w:tcPr>
            <w:tcW w:w="2125" w:type="dxa"/>
            <w:hideMark/>
          </w:tcPr>
          <w:p w14:paraId="192AF730"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39.4</w:t>
            </w:r>
          </w:p>
        </w:tc>
        <w:tc>
          <w:tcPr>
            <w:tcW w:w="1162" w:type="dxa"/>
            <w:hideMark/>
          </w:tcPr>
          <w:p w14:paraId="20599E0B"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61</w:t>
            </w:r>
          </w:p>
        </w:tc>
        <w:tc>
          <w:tcPr>
            <w:tcW w:w="2240" w:type="dxa"/>
            <w:hideMark/>
          </w:tcPr>
          <w:p w14:paraId="2910C8EA"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23.0</w:t>
            </w:r>
          </w:p>
        </w:tc>
        <w:tc>
          <w:tcPr>
            <w:tcW w:w="1275" w:type="dxa"/>
            <w:hideMark/>
          </w:tcPr>
          <w:p w14:paraId="03F88656"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9.1</w:t>
            </w:r>
          </w:p>
        </w:tc>
        <w:tc>
          <w:tcPr>
            <w:tcW w:w="1349" w:type="dxa"/>
            <w:hideMark/>
          </w:tcPr>
          <w:p w14:paraId="70465619"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4.8</w:t>
            </w:r>
          </w:p>
        </w:tc>
        <w:tc>
          <w:tcPr>
            <w:tcW w:w="1137" w:type="dxa"/>
          </w:tcPr>
          <w:p w14:paraId="5561FA8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r>
    </w:tbl>
    <w:p w14:paraId="0F5A0DBB" w14:textId="2357F8F1" w:rsidR="00A03923" w:rsidRDefault="00A03923" w:rsidP="00630025">
      <w:pPr>
        <w:spacing w:before="0" w:after="160" w:line="259" w:lineRule="auto"/>
        <w:rPr>
          <w:rFonts w:eastAsia="Lucida Sans" w:cs="Times New Roman"/>
          <w:color w:val="414042"/>
          <w:kern w:val="24"/>
        </w:rPr>
      </w:pPr>
    </w:p>
    <w:p w14:paraId="00F5FACA" w14:textId="77777777" w:rsidR="00A03923" w:rsidRDefault="00A03923">
      <w:pPr>
        <w:rPr>
          <w:rFonts w:eastAsia="Lucida Sans" w:cs="Times New Roman"/>
          <w:color w:val="414042"/>
          <w:kern w:val="24"/>
        </w:rPr>
      </w:pPr>
      <w:r>
        <w:rPr>
          <w:rFonts w:eastAsia="Lucida Sans" w:cs="Times New Roman"/>
          <w:color w:val="414042"/>
          <w:kern w:val="24"/>
        </w:rPr>
        <w:br w:type="page"/>
      </w:r>
    </w:p>
    <w:p w14:paraId="21E35D88" w14:textId="77777777" w:rsidR="00630025" w:rsidRPr="00630025" w:rsidRDefault="00630025" w:rsidP="00630025">
      <w:pPr>
        <w:spacing w:before="0" w:after="160" w:line="259" w:lineRule="auto"/>
        <w:rPr>
          <w:rFonts w:eastAsia="Lucida Sans" w:cs="Times New Roman"/>
          <w:color w:val="414042"/>
          <w:kern w:val="24"/>
        </w:rPr>
      </w:pPr>
      <w:r w:rsidRPr="00630025">
        <w:rPr>
          <w:rFonts w:eastAsia="Lucida Sans" w:cs="Times New Roman"/>
          <w:color w:val="414042"/>
          <w:kern w:val="24"/>
        </w:rPr>
        <w:lastRenderedPageBreak/>
        <w:t>Analysis:</w:t>
      </w:r>
    </w:p>
    <w:p w14:paraId="2A87EEAB" w14:textId="554B4371" w:rsidR="00630025" w:rsidRPr="00630025" w:rsidRDefault="00630025" w:rsidP="00630025">
      <w:pPr>
        <w:pStyle w:val="4Bulletlist"/>
      </w:pPr>
      <w:r w:rsidRPr="00630025">
        <w:t>The percentage of “No Reply” has dropped from 5.2% in 2015-2016 to 1.2% in 2016-2017. No applicants declared a non-binary or other gender identity; and</w:t>
      </w:r>
    </w:p>
    <w:p w14:paraId="3BDBDBCE" w14:textId="68B7A30C" w:rsidR="00630025" w:rsidRDefault="00630025" w:rsidP="00630025">
      <w:pPr>
        <w:pStyle w:val="4Bulletlist"/>
      </w:pPr>
      <w:r w:rsidRPr="00630025">
        <w:t>This year, males had a higher success rate throughout the recruitment process and 57.4% of job offers were made to males.</w:t>
      </w:r>
    </w:p>
    <w:p w14:paraId="77A2C490" w14:textId="3A5BB675" w:rsidR="00A03923" w:rsidRDefault="00A03923">
      <w:pPr>
        <w:rPr>
          <w:rFonts w:eastAsia="Lucida Sans" w:cs="Times New Roman"/>
          <w:color w:val="414042"/>
          <w:kern w:val="24"/>
        </w:rPr>
      </w:pPr>
      <w:r>
        <w:br w:type="page"/>
      </w:r>
    </w:p>
    <w:p w14:paraId="4290CA6E" w14:textId="1639C25E" w:rsidR="00630025" w:rsidRDefault="00630025" w:rsidP="00630025">
      <w:pPr>
        <w:pStyle w:val="2Sub-headings"/>
        <w:rPr>
          <w:rFonts w:eastAsia="Lucida Sans"/>
        </w:rPr>
      </w:pPr>
      <w:r w:rsidRPr="00630025">
        <w:rPr>
          <w:rFonts w:eastAsia="Lucida Sans"/>
        </w:rPr>
        <w:lastRenderedPageBreak/>
        <w:t>Gender (by working pattern)</w:t>
      </w:r>
    </w:p>
    <w:p w14:paraId="3ACF6CE1" w14:textId="738025DF" w:rsidR="00630025" w:rsidRDefault="00630025" w:rsidP="00630025">
      <w:pPr>
        <w:pStyle w:val="3Copy-text"/>
      </w:pPr>
      <w:r>
        <w:t>In the table below, the percentage refers to the proportion of specified sex at each grade by working pattern. For example, 78.8% of women who are at Team Support grade work full time, and 3.4% of men at Executive Band 2 (E2) work part time.</w:t>
      </w:r>
    </w:p>
    <w:p w14:paraId="2CA8ED41" w14:textId="72BB187A" w:rsidR="00616F86" w:rsidRDefault="00616F86" w:rsidP="00616F86">
      <w:pPr>
        <w:pStyle w:val="Caption"/>
        <w:keepNext/>
      </w:pPr>
      <w:r>
        <w:t xml:space="preserve">Table </w:t>
      </w:r>
      <w:fldSimple w:instr=" SEQ Table \* ARABIC ">
        <w:r w:rsidR="00332158">
          <w:rPr>
            <w:noProof/>
          </w:rPr>
          <w:t>8</w:t>
        </w:r>
      </w:fldSimple>
      <w:r>
        <w:t xml:space="preserve">: </w:t>
      </w:r>
      <w:r w:rsidRPr="00D73CEC">
        <w:t>Workforce: Gender by working pattern/contracted hours</w:t>
      </w:r>
    </w:p>
    <w:tbl>
      <w:tblPr>
        <w:tblStyle w:val="GridTable4-Accent4"/>
        <w:tblW w:w="5000" w:type="pct"/>
        <w:tblLook w:val="04A0" w:firstRow="1" w:lastRow="0" w:firstColumn="1" w:lastColumn="0" w:noHBand="0" w:noVBand="1"/>
      </w:tblPr>
      <w:tblGrid>
        <w:gridCol w:w="1391"/>
        <w:gridCol w:w="1562"/>
        <w:gridCol w:w="997"/>
        <w:gridCol w:w="1561"/>
        <w:gridCol w:w="994"/>
        <w:gridCol w:w="358"/>
        <w:gridCol w:w="1561"/>
        <w:gridCol w:w="1150"/>
        <w:gridCol w:w="1561"/>
        <w:gridCol w:w="946"/>
        <w:gridCol w:w="1561"/>
        <w:gridCol w:w="1144"/>
      </w:tblGrid>
      <w:tr w:rsidR="00630025" w:rsidRPr="00630025" w14:paraId="1882003A" w14:textId="77777777" w:rsidTr="006300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 w:type="pct"/>
            <w:hideMark/>
          </w:tcPr>
          <w:p w14:paraId="3FD68D80" w14:textId="77777777" w:rsidR="00630025" w:rsidRPr="00630025" w:rsidRDefault="00630025" w:rsidP="00630025">
            <w:pPr>
              <w:spacing w:before="0" w:after="200" w:line="264" w:lineRule="auto"/>
              <w:rPr>
                <w:rFonts w:eastAsia="Calibri" w:cs="Times New Roman"/>
              </w:rPr>
            </w:pPr>
            <w:r w:rsidRPr="00630025">
              <w:rPr>
                <w:rFonts w:eastAsia="Calibri" w:cs="Times New Roman"/>
              </w:rPr>
              <w:t> </w:t>
            </w:r>
          </w:p>
        </w:tc>
        <w:tc>
          <w:tcPr>
            <w:tcW w:w="1728" w:type="pct"/>
            <w:gridSpan w:val="4"/>
            <w:hideMark/>
          </w:tcPr>
          <w:p w14:paraId="24FF302F"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Women</w:t>
            </w:r>
          </w:p>
        </w:tc>
        <w:tc>
          <w:tcPr>
            <w:tcW w:w="121" w:type="pct"/>
          </w:tcPr>
          <w:p w14:paraId="6CE835E4"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1765" w:type="pct"/>
            <w:gridSpan w:val="4"/>
            <w:hideMark/>
          </w:tcPr>
          <w:p w14:paraId="23685C39"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Men</w:t>
            </w:r>
          </w:p>
        </w:tc>
        <w:tc>
          <w:tcPr>
            <w:tcW w:w="916" w:type="pct"/>
            <w:gridSpan w:val="2"/>
            <w:hideMark/>
          </w:tcPr>
          <w:p w14:paraId="75A6BBDD"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 xml:space="preserve">Total </w:t>
            </w:r>
          </w:p>
        </w:tc>
      </w:tr>
      <w:tr w:rsidR="00630025" w:rsidRPr="00630025" w14:paraId="2495EF69" w14:textId="77777777" w:rsidTr="00616F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 w:type="pct"/>
            <w:hideMark/>
          </w:tcPr>
          <w:p w14:paraId="4E4F7D1F"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 </w:t>
            </w:r>
          </w:p>
        </w:tc>
        <w:tc>
          <w:tcPr>
            <w:tcW w:w="865" w:type="pct"/>
            <w:gridSpan w:val="2"/>
            <w:hideMark/>
          </w:tcPr>
          <w:p w14:paraId="5A7FF61C"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Full-time</w:t>
            </w:r>
          </w:p>
        </w:tc>
        <w:tc>
          <w:tcPr>
            <w:tcW w:w="864" w:type="pct"/>
            <w:gridSpan w:val="2"/>
            <w:hideMark/>
          </w:tcPr>
          <w:p w14:paraId="7A1186EE"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Part-time</w:t>
            </w:r>
          </w:p>
        </w:tc>
        <w:tc>
          <w:tcPr>
            <w:tcW w:w="121" w:type="pct"/>
          </w:tcPr>
          <w:p w14:paraId="0D7254D8"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p>
        </w:tc>
        <w:tc>
          <w:tcPr>
            <w:tcW w:w="917" w:type="pct"/>
            <w:gridSpan w:val="2"/>
            <w:hideMark/>
          </w:tcPr>
          <w:p w14:paraId="762DAA06"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Full-time</w:t>
            </w:r>
          </w:p>
        </w:tc>
        <w:tc>
          <w:tcPr>
            <w:tcW w:w="848" w:type="pct"/>
            <w:gridSpan w:val="2"/>
            <w:hideMark/>
          </w:tcPr>
          <w:p w14:paraId="50E093ED"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Part-time</w:t>
            </w:r>
          </w:p>
        </w:tc>
        <w:tc>
          <w:tcPr>
            <w:tcW w:w="916" w:type="pct"/>
            <w:gridSpan w:val="2"/>
            <w:hideMark/>
          </w:tcPr>
          <w:p w14:paraId="5297CCBA"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 </w:t>
            </w:r>
          </w:p>
        </w:tc>
      </w:tr>
      <w:tr w:rsidR="00630025" w:rsidRPr="00630025" w14:paraId="7B78468F" w14:textId="77777777" w:rsidTr="00630025">
        <w:trPr>
          <w:trHeight w:val="585"/>
        </w:trPr>
        <w:tc>
          <w:tcPr>
            <w:cnfStyle w:val="001000000000" w:firstRow="0" w:lastRow="0" w:firstColumn="1" w:lastColumn="0" w:oddVBand="0" w:evenVBand="0" w:oddHBand="0" w:evenHBand="0" w:firstRowFirstColumn="0" w:firstRowLastColumn="0" w:lastRowFirstColumn="0" w:lastRowLastColumn="0"/>
            <w:tcW w:w="470" w:type="pct"/>
            <w:hideMark/>
          </w:tcPr>
          <w:p w14:paraId="270E61F1"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Grade</w:t>
            </w:r>
          </w:p>
        </w:tc>
        <w:tc>
          <w:tcPr>
            <w:tcW w:w="528" w:type="pct"/>
            <w:hideMark/>
          </w:tcPr>
          <w:p w14:paraId="6DD0295F"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630025">
              <w:rPr>
                <w:rFonts w:eastAsia="Calibri" w:cs="Times New Roman"/>
                <w:b/>
                <w:color w:val="000000"/>
              </w:rPr>
              <w:t>number</w:t>
            </w:r>
          </w:p>
        </w:tc>
        <w:tc>
          <w:tcPr>
            <w:tcW w:w="336" w:type="pct"/>
            <w:hideMark/>
          </w:tcPr>
          <w:p w14:paraId="65D02502"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630025">
              <w:rPr>
                <w:rFonts w:eastAsia="Calibri" w:cs="Times New Roman"/>
                <w:b/>
                <w:color w:val="000000"/>
              </w:rPr>
              <w:t>%</w:t>
            </w:r>
          </w:p>
        </w:tc>
        <w:tc>
          <w:tcPr>
            <w:tcW w:w="528" w:type="pct"/>
            <w:hideMark/>
          </w:tcPr>
          <w:p w14:paraId="7D28B589"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630025">
              <w:rPr>
                <w:rFonts w:eastAsia="Calibri" w:cs="Times New Roman"/>
                <w:b/>
                <w:color w:val="000000"/>
              </w:rPr>
              <w:t>number</w:t>
            </w:r>
          </w:p>
        </w:tc>
        <w:tc>
          <w:tcPr>
            <w:tcW w:w="336" w:type="pct"/>
            <w:hideMark/>
          </w:tcPr>
          <w:p w14:paraId="1DC9339F"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630025">
              <w:rPr>
                <w:rFonts w:eastAsia="Calibri" w:cs="Times New Roman"/>
                <w:b/>
                <w:color w:val="000000"/>
              </w:rPr>
              <w:t>%</w:t>
            </w:r>
          </w:p>
        </w:tc>
        <w:tc>
          <w:tcPr>
            <w:tcW w:w="121" w:type="pct"/>
          </w:tcPr>
          <w:p w14:paraId="4ACE0F23"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p>
        </w:tc>
        <w:tc>
          <w:tcPr>
            <w:tcW w:w="528" w:type="pct"/>
            <w:hideMark/>
          </w:tcPr>
          <w:p w14:paraId="5E278A47"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630025">
              <w:rPr>
                <w:rFonts w:eastAsia="Calibri" w:cs="Times New Roman"/>
                <w:b/>
                <w:color w:val="000000"/>
              </w:rPr>
              <w:t>number</w:t>
            </w:r>
          </w:p>
        </w:tc>
        <w:tc>
          <w:tcPr>
            <w:tcW w:w="389" w:type="pct"/>
            <w:hideMark/>
          </w:tcPr>
          <w:p w14:paraId="2DF0BA75"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630025">
              <w:rPr>
                <w:rFonts w:eastAsia="Calibri" w:cs="Times New Roman"/>
                <w:b/>
                <w:color w:val="000000"/>
              </w:rPr>
              <w:t>%</w:t>
            </w:r>
          </w:p>
        </w:tc>
        <w:tc>
          <w:tcPr>
            <w:tcW w:w="528" w:type="pct"/>
            <w:hideMark/>
          </w:tcPr>
          <w:p w14:paraId="072DED3B"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630025">
              <w:rPr>
                <w:rFonts w:eastAsia="Calibri" w:cs="Times New Roman"/>
                <w:b/>
                <w:color w:val="000000"/>
              </w:rPr>
              <w:t>number</w:t>
            </w:r>
          </w:p>
        </w:tc>
        <w:tc>
          <w:tcPr>
            <w:tcW w:w="320" w:type="pct"/>
            <w:hideMark/>
          </w:tcPr>
          <w:p w14:paraId="07F291EE"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630025">
              <w:rPr>
                <w:rFonts w:eastAsia="Calibri" w:cs="Times New Roman"/>
                <w:b/>
                <w:color w:val="000000"/>
              </w:rPr>
              <w:t>%</w:t>
            </w:r>
          </w:p>
        </w:tc>
        <w:tc>
          <w:tcPr>
            <w:tcW w:w="528" w:type="pct"/>
            <w:hideMark/>
          </w:tcPr>
          <w:p w14:paraId="7FD5125A"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630025">
              <w:rPr>
                <w:rFonts w:eastAsia="Calibri" w:cs="Times New Roman"/>
                <w:b/>
                <w:color w:val="000000"/>
              </w:rPr>
              <w:t>number</w:t>
            </w:r>
          </w:p>
        </w:tc>
        <w:tc>
          <w:tcPr>
            <w:tcW w:w="388" w:type="pct"/>
            <w:noWrap/>
            <w:hideMark/>
          </w:tcPr>
          <w:p w14:paraId="2C2DFE0F"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rPr>
            </w:pPr>
            <w:r w:rsidRPr="00630025">
              <w:rPr>
                <w:rFonts w:eastAsia="Calibri" w:cs="Times New Roman"/>
                <w:b/>
                <w:color w:val="000000"/>
              </w:rPr>
              <w:t>%</w:t>
            </w:r>
          </w:p>
        </w:tc>
      </w:tr>
      <w:tr w:rsidR="00630025" w:rsidRPr="00630025" w14:paraId="3D4DE189" w14:textId="77777777" w:rsidTr="006300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0" w:type="pct"/>
            <w:hideMark/>
          </w:tcPr>
          <w:p w14:paraId="5037D63B"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Team*</w:t>
            </w:r>
          </w:p>
        </w:tc>
        <w:tc>
          <w:tcPr>
            <w:tcW w:w="528" w:type="pct"/>
            <w:hideMark/>
          </w:tcPr>
          <w:p w14:paraId="0922800F"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41</w:t>
            </w:r>
          </w:p>
        </w:tc>
        <w:tc>
          <w:tcPr>
            <w:tcW w:w="336" w:type="pct"/>
            <w:hideMark/>
          </w:tcPr>
          <w:p w14:paraId="0B978523"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78.8</w:t>
            </w:r>
          </w:p>
        </w:tc>
        <w:tc>
          <w:tcPr>
            <w:tcW w:w="528" w:type="pct"/>
            <w:hideMark/>
          </w:tcPr>
          <w:p w14:paraId="4EDB4058"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11</w:t>
            </w:r>
          </w:p>
        </w:tc>
        <w:tc>
          <w:tcPr>
            <w:tcW w:w="336" w:type="pct"/>
            <w:hideMark/>
          </w:tcPr>
          <w:p w14:paraId="4C404563"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21.2</w:t>
            </w:r>
          </w:p>
        </w:tc>
        <w:tc>
          <w:tcPr>
            <w:tcW w:w="121" w:type="pct"/>
          </w:tcPr>
          <w:p w14:paraId="58B2C380"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c>
          <w:tcPr>
            <w:tcW w:w="528" w:type="pct"/>
            <w:hideMark/>
          </w:tcPr>
          <w:p w14:paraId="5D02EBDA"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72</w:t>
            </w:r>
          </w:p>
        </w:tc>
        <w:tc>
          <w:tcPr>
            <w:tcW w:w="389" w:type="pct"/>
            <w:hideMark/>
          </w:tcPr>
          <w:p w14:paraId="541EE8AE"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92.3</w:t>
            </w:r>
          </w:p>
        </w:tc>
        <w:tc>
          <w:tcPr>
            <w:tcW w:w="528" w:type="pct"/>
            <w:hideMark/>
          </w:tcPr>
          <w:p w14:paraId="40D136EC"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6</w:t>
            </w:r>
          </w:p>
        </w:tc>
        <w:tc>
          <w:tcPr>
            <w:tcW w:w="320" w:type="pct"/>
            <w:hideMark/>
          </w:tcPr>
          <w:p w14:paraId="3534E22A"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7.7</w:t>
            </w:r>
          </w:p>
        </w:tc>
        <w:tc>
          <w:tcPr>
            <w:tcW w:w="528" w:type="pct"/>
            <w:hideMark/>
          </w:tcPr>
          <w:p w14:paraId="48D52459"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130</w:t>
            </w:r>
          </w:p>
        </w:tc>
        <w:tc>
          <w:tcPr>
            <w:tcW w:w="388" w:type="pct"/>
            <w:noWrap/>
            <w:hideMark/>
          </w:tcPr>
          <w:p w14:paraId="33E041ED"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27.9</w:t>
            </w:r>
          </w:p>
        </w:tc>
      </w:tr>
      <w:tr w:rsidR="00630025" w:rsidRPr="00630025" w14:paraId="76D32E99" w14:textId="77777777" w:rsidTr="00630025">
        <w:trPr>
          <w:trHeight w:val="315"/>
        </w:trPr>
        <w:tc>
          <w:tcPr>
            <w:cnfStyle w:val="001000000000" w:firstRow="0" w:lastRow="0" w:firstColumn="1" w:lastColumn="0" w:oddVBand="0" w:evenVBand="0" w:oddHBand="0" w:evenHBand="0" w:firstRowFirstColumn="0" w:firstRowLastColumn="0" w:lastRowFirstColumn="0" w:lastRowLastColumn="0"/>
            <w:tcW w:w="470" w:type="pct"/>
            <w:hideMark/>
          </w:tcPr>
          <w:p w14:paraId="6FD226B3"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M3</w:t>
            </w:r>
          </w:p>
        </w:tc>
        <w:tc>
          <w:tcPr>
            <w:tcW w:w="528" w:type="pct"/>
            <w:hideMark/>
          </w:tcPr>
          <w:p w14:paraId="6C238A60"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26</w:t>
            </w:r>
          </w:p>
        </w:tc>
        <w:tc>
          <w:tcPr>
            <w:tcW w:w="336" w:type="pct"/>
            <w:hideMark/>
          </w:tcPr>
          <w:p w14:paraId="2A806DB4"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83.9</w:t>
            </w:r>
          </w:p>
        </w:tc>
        <w:tc>
          <w:tcPr>
            <w:tcW w:w="528" w:type="pct"/>
            <w:hideMark/>
          </w:tcPr>
          <w:p w14:paraId="1BFD4A5D"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5</w:t>
            </w:r>
          </w:p>
        </w:tc>
        <w:tc>
          <w:tcPr>
            <w:tcW w:w="336" w:type="pct"/>
            <w:hideMark/>
          </w:tcPr>
          <w:p w14:paraId="5F1A9F8F"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16.1</w:t>
            </w:r>
          </w:p>
        </w:tc>
        <w:tc>
          <w:tcPr>
            <w:tcW w:w="121" w:type="pct"/>
          </w:tcPr>
          <w:p w14:paraId="1B681F9F"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528" w:type="pct"/>
            <w:hideMark/>
          </w:tcPr>
          <w:p w14:paraId="0491D51B"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31</w:t>
            </w:r>
          </w:p>
        </w:tc>
        <w:tc>
          <w:tcPr>
            <w:tcW w:w="389" w:type="pct"/>
            <w:hideMark/>
          </w:tcPr>
          <w:p w14:paraId="69A92514"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86.1</w:t>
            </w:r>
          </w:p>
        </w:tc>
        <w:tc>
          <w:tcPr>
            <w:tcW w:w="528" w:type="pct"/>
            <w:hideMark/>
          </w:tcPr>
          <w:p w14:paraId="190059EB"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5</w:t>
            </w:r>
          </w:p>
        </w:tc>
        <w:tc>
          <w:tcPr>
            <w:tcW w:w="320" w:type="pct"/>
            <w:hideMark/>
          </w:tcPr>
          <w:p w14:paraId="3D864431"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13.9</w:t>
            </w:r>
          </w:p>
        </w:tc>
        <w:tc>
          <w:tcPr>
            <w:tcW w:w="528" w:type="pct"/>
            <w:hideMark/>
          </w:tcPr>
          <w:p w14:paraId="62F2F200"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67</w:t>
            </w:r>
          </w:p>
        </w:tc>
        <w:tc>
          <w:tcPr>
            <w:tcW w:w="388" w:type="pct"/>
            <w:noWrap/>
            <w:hideMark/>
          </w:tcPr>
          <w:p w14:paraId="1D3AE0EA"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14.4</w:t>
            </w:r>
          </w:p>
        </w:tc>
      </w:tr>
      <w:tr w:rsidR="00630025" w:rsidRPr="00630025" w14:paraId="07FC71BA" w14:textId="77777777" w:rsidTr="006300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0" w:type="pct"/>
            <w:hideMark/>
          </w:tcPr>
          <w:p w14:paraId="1EAF8943"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M2</w:t>
            </w:r>
          </w:p>
        </w:tc>
        <w:tc>
          <w:tcPr>
            <w:tcW w:w="528" w:type="pct"/>
            <w:hideMark/>
          </w:tcPr>
          <w:p w14:paraId="4F31958C"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54</w:t>
            </w:r>
          </w:p>
        </w:tc>
        <w:tc>
          <w:tcPr>
            <w:tcW w:w="336" w:type="pct"/>
            <w:hideMark/>
          </w:tcPr>
          <w:p w14:paraId="3C42FD44"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69.2</w:t>
            </w:r>
          </w:p>
        </w:tc>
        <w:tc>
          <w:tcPr>
            <w:tcW w:w="528" w:type="pct"/>
            <w:hideMark/>
          </w:tcPr>
          <w:p w14:paraId="70FAF8A2"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24</w:t>
            </w:r>
          </w:p>
        </w:tc>
        <w:tc>
          <w:tcPr>
            <w:tcW w:w="336" w:type="pct"/>
            <w:hideMark/>
          </w:tcPr>
          <w:p w14:paraId="6721645F"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30.8</w:t>
            </w:r>
          </w:p>
        </w:tc>
        <w:tc>
          <w:tcPr>
            <w:tcW w:w="121" w:type="pct"/>
          </w:tcPr>
          <w:p w14:paraId="071484BB"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c>
          <w:tcPr>
            <w:tcW w:w="528" w:type="pct"/>
            <w:hideMark/>
          </w:tcPr>
          <w:p w14:paraId="3934A2D8"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46</w:t>
            </w:r>
          </w:p>
        </w:tc>
        <w:tc>
          <w:tcPr>
            <w:tcW w:w="389" w:type="pct"/>
            <w:hideMark/>
          </w:tcPr>
          <w:p w14:paraId="3358190D"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97.9</w:t>
            </w:r>
          </w:p>
        </w:tc>
        <w:tc>
          <w:tcPr>
            <w:tcW w:w="528" w:type="pct"/>
            <w:hideMark/>
          </w:tcPr>
          <w:p w14:paraId="55C5E6BB"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w:t>
            </w:r>
          </w:p>
        </w:tc>
        <w:tc>
          <w:tcPr>
            <w:tcW w:w="320" w:type="pct"/>
            <w:hideMark/>
          </w:tcPr>
          <w:p w14:paraId="24317A10"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2.1</w:t>
            </w:r>
          </w:p>
        </w:tc>
        <w:tc>
          <w:tcPr>
            <w:tcW w:w="528" w:type="pct"/>
            <w:hideMark/>
          </w:tcPr>
          <w:p w14:paraId="19248165"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125</w:t>
            </w:r>
          </w:p>
        </w:tc>
        <w:tc>
          <w:tcPr>
            <w:tcW w:w="388" w:type="pct"/>
            <w:noWrap/>
            <w:hideMark/>
          </w:tcPr>
          <w:p w14:paraId="2884C168"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26.8</w:t>
            </w:r>
          </w:p>
        </w:tc>
      </w:tr>
      <w:tr w:rsidR="00630025" w:rsidRPr="00630025" w14:paraId="0325AC80" w14:textId="77777777" w:rsidTr="00630025">
        <w:trPr>
          <w:trHeight w:val="315"/>
        </w:trPr>
        <w:tc>
          <w:tcPr>
            <w:cnfStyle w:val="001000000000" w:firstRow="0" w:lastRow="0" w:firstColumn="1" w:lastColumn="0" w:oddVBand="0" w:evenVBand="0" w:oddHBand="0" w:evenHBand="0" w:firstRowFirstColumn="0" w:firstRowLastColumn="0" w:lastRowFirstColumn="0" w:lastRowLastColumn="0"/>
            <w:tcW w:w="470" w:type="pct"/>
            <w:hideMark/>
          </w:tcPr>
          <w:p w14:paraId="7AA38FDC"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M1</w:t>
            </w:r>
          </w:p>
        </w:tc>
        <w:tc>
          <w:tcPr>
            <w:tcW w:w="528" w:type="pct"/>
            <w:hideMark/>
          </w:tcPr>
          <w:p w14:paraId="6FD2D9F7"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27</w:t>
            </w:r>
          </w:p>
        </w:tc>
        <w:tc>
          <w:tcPr>
            <w:tcW w:w="336" w:type="pct"/>
            <w:hideMark/>
          </w:tcPr>
          <w:p w14:paraId="0700BA11"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71.1</w:t>
            </w:r>
          </w:p>
        </w:tc>
        <w:tc>
          <w:tcPr>
            <w:tcW w:w="528" w:type="pct"/>
            <w:hideMark/>
          </w:tcPr>
          <w:p w14:paraId="41EECFDA"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11</w:t>
            </w:r>
          </w:p>
        </w:tc>
        <w:tc>
          <w:tcPr>
            <w:tcW w:w="336" w:type="pct"/>
            <w:hideMark/>
          </w:tcPr>
          <w:p w14:paraId="01A8C873"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28.9</w:t>
            </w:r>
          </w:p>
        </w:tc>
        <w:tc>
          <w:tcPr>
            <w:tcW w:w="121" w:type="pct"/>
          </w:tcPr>
          <w:p w14:paraId="431E869F"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528" w:type="pct"/>
            <w:hideMark/>
          </w:tcPr>
          <w:p w14:paraId="051F4700"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31</w:t>
            </w:r>
          </w:p>
        </w:tc>
        <w:tc>
          <w:tcPr>
            <w:tcW w:w="389" w:type="pct"/>
            <w:hideMark/>
          </w:tcPr>
          <w:p w14:paraId="1BF383A6"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91.2</w:t>
            </w:r>
          </w:p>
        </w:tc>
        <w:tc>
          <w:tcPr>
            <w:tcW w:w="528" w:type="pct"/>
            <w:hideMark/>
          </w:tcPr>
          <w:p w14:paraId="680E3711"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3</w:t>
            </w:r>
          </w:p>
        </w:tc>
        <w:tc>
          <w:tcPr>
            <w:tcW w:w="320" w:type="pct"/>
            <w:hideMark/>
          </w:tcPr>
          <w:p w14:paraId="0463771F"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8.8</w:t>
            </w:r>
          </w:p>
        </w:tc>
        <w:tc>
          <w:tcPr>
            <w:tcW w:w="528" w:type="pct"/>
            <w:hideMark/>
          </w:tcPr>
          <w:p w14:paraId="76DDA1F9"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72</w:t>
            </w:r>
          </w:p>
        </w:tc>
        <w:tc>
          <w:tcPr>
            <w:tcW w:w="388" w:type="pct"/>
            <w:noWrap/>
            <w:hideMark/>
          </w:tcPr>
          <w:p w14:paraId="2F9BB2C3"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15.5</w:t>
            </w:r>
          </w:p>
        </w:tc>
      </w:tr>
      <w:tr w:rsidR="00630025" w:rsidRPr="00630025" w14:paraId="33149F90" w14:textId="77777777" w:rsidTr="006300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0" w:type="pct"/>
            <w:hideMark/>
          </w:tcPr>
          <w:p w14:paraId="57574CD1"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E2</w:t>
            </w:r>
          </w:p>
        </w:tc>
        <w:tc>
          <w:tcPr>
            <w:tcW w:w="528" w:type="pct"/>
            <w:hideMark/>
          </w:tcPr>
          <w:p w14:paraId="4B2ACF1C"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16</w:t>
            </w:r>
          </w:p>
        </w:tc>
        <w:tc>
          <w:tcPr>
            <w:tcW w:w="336" w:type="pct"/>
            <w:hideMark/>
          </w:tcPr>
          <w:p w14:paraId="44584634"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66.7</w:t>
            </w:r>
          </w:p>
        </w:tc>
        <w:tc>
          <w:tcPr>
            <w:tcW w:w="528" w:type="pct"/>
            <w:hideMark/>
          </w:tcPr>
          <w:p w14:paraId="098A1B5A"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8</w:t>
            </w:r>
          </w:p>
        </w:tc>
        <w:tc>
          <w:tcPr>
            <w:tcW w:w="336" w:type="pct"/>
            <w:hideMark/>
          </w:tcPr>
          <w:p w14:paraId="1247F2BC"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33.3</w:t>
            </w:r>
          </w:p>
        </w:tc>
        <w:tc>
          <w:tcPr>
            <w:tcW w:w="121" w:type="pct"/>
          </w:tcPr>
          <w:p w14:paraId="6D37E21F"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c>
          <w:tcPr>
            <w:tcW w:w="528" w:type="pct"/>
            <w:hideMark/>
          </w:tcPr>
          <w:p w14:paraId="13EAB893"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28</w:t>
            </w:r>
          </w:p>
        </w:tc>
        <w:tc>
          <w:tcPr>
            <w:tcW w:w="389" w:type="pct"/>
            <w:hideMark/>
          </w:tcPr>
          <w:p w14:paraId="2EB795E0"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96.6</w:t>
            </w:r>
          </w:p>
        </w:tc>
        <w:tc>
          <w:tcPr>
            <w:tcW w:w="528" w:type="pct"/>
            <w:hideMark/>
          </w:tcPr>
          <w:p w14:paraId="53FD8E3C"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w:t>
            </w:r>
          </w:p>
        </w:tc>
        <w:tc>
          <w:tcPr>
            <w:tcW w:w="320" w:type="pct"/>
            <w:hideMark/>
          </w:tcPr>
          <w:p w14:paraId="41468829"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3.4</w:t>
            </w:r>
          </w:p>
        </w:tc>
        <w:tc>
          <w:tcPr>
            <w:tcW w:w="528" w:type="pct"/>
            <w:hideMark/>
          </w:tcPr>
          <w:p w14:paraId="49E26A1B"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53</w:t>
            </w:r>
          </w:p>
        </w:tc>
        <w:tc>
          <w:tcPr>
            <w:tcW w:w="388" w:type="pct"/>
            <w:noWrap/>
            <w:hideMark/>
          </w:tcPr>
          <w:p w14:paraId="0E0D6627"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11.4</w:t>
            </w:r>
          </w:p>
        </w:tc>
      </w:tr>
      <w:tr w:rsidR="00630025" w:rsidRPr="00630025" w14:paraId="0458A38D" w14:textId="77777777" w:rsidTr="00630025">
        <w:trPr>
          <w:trHeight w:val="315"/>
        </w:trPr>
        <w:tc>
          <w:tcPr>
            <w:cnfStyle w:val="001000000000" w:firstRow="0" w:lastRow="0" w:firstColumn="1" w:lastColumn="0" w:oddVBand="0" w:evenVBand="0" w:oddHBand="0" w:evenHBand="0" w:firstRowFirstColumn="0" w:firstRowLastColumn="0" w:lastRowFirstColumn="0" w:lastRowLastColumn="0"/>
            <w:tcW w:w="470" w:type="pct"/>
            <w:hideMark/>
          </w:tcPr>
          <w:p w14:paraId="393A3666"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E1</w:t>
            </w:r>
          </w:p>
        </w:tc>
        <w:tc>
          <w:tcPr>
            <w:tcW w:w="528" w:type="pct"/>
            <w:hideMark/>
          </w:tcPr>
          <w:p w14:paraId="0945ADCA"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w:t>
            </w:r>
          </w:p>
        </w:tc>
        <w:tc>
          <w:tcPr>
            <w:tcW w:w="336" w:type="pct"/>
            <w:hideMark/>
          </w:tcPr>
          <w:p w14:paraId="5128E3D7"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75.0</w:t>
            </w:r>
          </w:p>
        </w:tc>
        <w:tc>
          <w:tcPr>
            <w:tcW w:w="528" w:type="pct"/>
            <w:hideMark/>
          </w:tcPr>
          <w:p w14:paraId="28B9978F"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w:t>
            </w:r>
          </w:p>
        </w:tc>
        <w:tc>
          <w:tcPr>
            <w:tcW w:w="336" w:type="pct"/>
            <w:hideMark/>
          </w:tcPr>
          <w:p w14:paraId="72F8045D"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25.0</w:t>
            </w:r>
          </w:p>
        </w:tc>
        <w:tc>
          <w:tcPr>
            <w:tcW w:w="121" w:type="pct"/>
          </w:tcPr>
          <w:p w14:paraId="2FCC6590"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528" w:type="pct"/>
            <w:hideMark/>
          </w:tcPr>
          <w:p w14:paraId="4F610FDE"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w:t>
            </w:r>
          </w:p>
        </w:tc>
        <w:tc>
          <w:tcPr>
            <w:tcW w:w="389" w:type="pct"/>
            <w:hideMark/>
          </w:tcPr>
          <w:p w14:paraId="59AA8739"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100.0</w:t>
            </w:r>
          </w:p>
        </w:tc>
        <w:tc>
          <w:tcPr>
            <w:tcW w:w="528" w:type="pct"/>
            <w:hideMark/>
          </w:tcPr>
          <w:p w14:paraId="7E126BCC"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320" w:type="pct"/>
            <w:hideMark/>
          </w:tcPr>
          <w:p w14:paraId="23BE6600"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528" w:type="pct"/>
            <w:hideMark/>
          </w:tcPr>
          <w:p w14:paraId="5A5BCF43"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14</w:t>
            </w:r>
          </w:p>
        </w:tc>
        <w:tc>
          <w:tcPr>
            <w:tcW w:w="388" w:type="pct"/>
            <w:noWrap/>
            <w:hideMark/>
          </w:tcPr>
          <w:p w14:paraId="0F2B1F33"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3.0</w:t>
            </w:r>
          </w:p>
        </w:tc>
      </w:tr>
      <w:tr w:rsidR="00630025" w:rsidRPr="00630025" w14:paraId="7CE07465" w14:textId="77777777" w:rsidTr="006300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0" w:type="pct"/>
            <w:hideMark/>
          </w:tcPr>
          <w:p w14:paraId="5786F84A"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Senior</w:t>
            </w:r>
          </w:p>
        </w:tc>
        <w:tc>
          <w:tcPr>
            <w:tcW w:w="528" w:type="pct"/>
            <w:hideMark/>
          </w:tcPr>
          <w:p w14:paraId="6FF02531"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w:t>
            </w:r>
          </w:p>
        </w:tc>
        <w:tc>
          <w:tcPr>
            <w:tcW w:w="336" w:type="pct"/>
            <w:hideMark/>
          </w:tcPr>
          <w:p w14:paraId="6ACFC1BC"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50.0</w:t>
            </w:r>
          </w:p>
        </w:tc>
        <w:tc>
          <w:tcPr>
            <w:tcW w:w="528" w:type="pct"/>
            <w:hideMark/>
          </w:tcPr>
          <w:p w14:paraId="3F4829BB"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w:t>
            </w:r>
          </w:p>
        </w:tc>
        <w:tc>
          <w:tcPr>
            <w:tcW w:w="336" w:type="pct"/>
            <w:hideMark/>
          </w:tcPr>
          <w:p w14:paraId="4E75BC15"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50.0</w:t>
            </w:r>
          </w:p>
        </w:tc>
        <w:tc>
          <w:tcPr>
            <w:tcW w:w="121" w:type="pct"/>
          </w:tcPr>
          <w:p w14:paraId="15BD409B"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c>
          <w:tcPr>
            <w:tcW w:w="528" w:type="pct"/>
            <w:hideMark/>
          </w:tcPr>
          <w:p w14:paraId="18643F05"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w:t>
            </w:r>
          </w:p>
        </w:tc>
        <w:tc>
          <w:tcPr>
            <w:tcW w:w="389" w:type="pct"/>
            <w:hideMark/>
          </w:tcPr>
          <w:p w14:paraId="58D26BF2"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100.0</w:t>
            </w:r>
          </w:p>
        </w:tc>
        <w:tc>
          <w:tcPr>
            <w:tcW w:w="528" w:type="pct"/>
            <w:hideMark/>
          </w:tcPr>
          <w:p w14:paraId="1B84078C"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320" w:type="pct"/>
            <w:hideMark/>
          </w:tcPr>
          <w:p w14:paraId="3322372A"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528" w:type="pct"/>
            <w:hideMark/>
          </w:tcPr>
          <w:p w14:paraId="42AB0DAA"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5</w:t>
            </w:r>
          </w:p>
        </w:tc>
        <w:tc>
          <w:tcPr>
            <w:tcW w:w="388" w:type="pct"/>
            <w:noWrap/>
            <w:hideMark/>
          </w:tcPr>
          <w:p w14:paraId="37381092" w14:textId="77777777" w:rsidR="00630025" w:rsidRPr="00630025" w:rsidRDefault="00630025" w:rsidP="00630025">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1.1</w:t>
            </w:r>
          </w:p>
        </w:tc>
      </w:tr>
      <w:tr w:rsidR="00630025" w:rsidRPr="00630025" w14:paraId="0CDBABAD" w14:textId="77777777" w:rsidTr="00630025">
        <w:trPr>
          <w:trHeight w:val="315"/>
        </w:trPr>
        <w:tc>
          <w:tcPr>
            <w:cnfStyle w:val="001000000000" w:firstRow="0" w:lastRow="0" w:firstColumn="1" w:lastColumn="0" w:oddVBand="0" w:evenVBand="0" w:oddHBand="0" w:evenHBand="0" w:firstRowFirstColumn="0" w:firstRowLastColumn="0" w:lastRowFirstColumn="0" w:lastRowLastColumn="0"/>
            <w:tcW w:w="470" w:type="pct"/>
            <w:hideMark/>
          </w:tcPr>
          <w:p w14:paraId="49DE5235"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Total</w:t>
            </w:r>
          </w:p>
        </w:tc>
        <w:tc>
          <w:tcPr>
            <w:tcW w:w="528" w:type="pct"/>
            <w:hideMark/>
          </w:tcPr>
          <w:p w14:paraId="71049D7B"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171</w:t>
            </w:r>
          </w:p>
        </w:tc>
        <w:tc>
          <w:tcPr>
            <w:tcW w:w="336" w:type="pct"/>
            <w:hideMark/>
          </w:tcPr>
          <w:p w14:paraId="591A7CE8"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73.4</w:t>
            </w:r>
          </w:p>
        </w:tc>
        <w:tc>
          <w:tcPr>
            <w:tcW w:w="528" w:type="pct"/>
            <w:hideMark/>
          </w:tcPr>
          <w:p w14:paraId="6836A89F"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62</w:t>
            </w:r>
          </w:p>
        </w:tc>
        <w:tc>
          <w:tcPr>
            <w:tcW w:w="336" w:type="pct"/>
            <w:hideMark/>
          </w:tcPr>
          <w:p w14:paraId="13EFBB86"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26.6</w:t>
            </w:r>
          </w:p>
        </w:tc>
        <w:tc>
          <w:tcPr>
            <w:tcW w:w="121" w:type="pct"/>
          </w:tcPr>
          <w:p w14:paraId="6EF9BC66"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528" w:type="pct"/>
            <w:hideMark/>
          </w:tcPr>
          <w:p w14:paraId="7DBD8226"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217</w:t>
            </w:r>
          </w:p>
        </w:tc>
        <w:tc>
          <w:tcPr>
            <w:tcW w:w="389" w:type="pct"/>
            <w:hideMark/>
          </w:tcPr>
          <w:p w14:paraId="6A36D7A0"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93.1</w:t>
            </w:r>
          </w:p>
        </w:tc>
        <w:tc>
          <w:tcPr>
            <w:tcW w:w="528" w:type="pct"/>
            <w:hideMark/>
          </w:tcPr>
          <w:p w14:paraId="54FAFDA6"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16</w:t>
            </w:r>
          </w:p>
        </w:tc>
        <w:tc>
          <w:tcPr>
            <w:tcW w:w="320" w:type="pct"/>
            <w:hideMark/>
          </w:tcPr>
          <w:p w14:paraId="3BE1B20E"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6.9</w:t>
            </w:r>
          </w:p>
        </w:tc>
        <w:tc>
          <w:tcPr>
            <w:tcW w:w="528" w:type="pct"/>
            <w:hideMark/>
          </w:tcPr>
          <w:p w14:paraId="5C789A60"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466</w:t>
            </w:r>
          </w:p>
        </w:tc>
        <w:tc>
          <w:tcPr>
            <w:tcW w:w="388" w:type="pct"/>
            <w:noWrap/>
            <w:hideMark/>
          </w:tcPr>
          <w:p w14:paraId="19C7462B" w14:textId="77777777" w:rsidR="00630025" w:rsidRPr="00630025" w:rsidRDefault="00630025" w:rsidP="00630025">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100.0</w:t>
            </w:r>
          </w:p>
        </w:tc>
      </w:tr>
    </w:tbl>
    <w:p w14:paraId="22937785" w14:textId="23F35D81" w:rsidR="00A03923" w:rsidRDefault="00A03923" w:rsidP="00630025">
      <w:pPr>
        <w:pStyle w:val="3Copy-text"/>
      </w:pPr>
    </w:p>
    <w:p w14:paraId="4A56ED5D" w14:textId="77777777" w:rsidR="00A03923" w:rsidRDefault="00A03923">
      <w:pPr>
        <w:rPr>
          <w:color w:val="414042"/>
          <w:kern w:val="24"/>
        </w:rPr>
      </w:pPr>
      <w:r>
        <w:br w:type="page"/>
      </w:r>
    </w:p>
    <w:p w14:paraId="5EEF789F" w14:textId="3B247457" w:rsidR="00630025" w:rsidRDefault="00A03923" w:rsidP="00630025">
      <w:pPr>
        <w:pStyle w:val="3Copy-text"/>
      </w:pPr>
      <w:r w:rsidRPr="00A03923">
        <w:lastRenderedPageBreak/>
        <w:t>Analysis:</w:t>
      </w:r>
    </w:p>
    <w:p w14:paraId="651638C3" w14:textId="57313420" w:rsidR="00630025" w:rsidRDefault="00630025" w:rsidP="00630025">
      <w:pPr>
        <w:pStyle w:val="4Bulletlist"/>
      </w:pPr>
      <w:r>
        <w:t xml:space="preserve">The 2011 Census data shows that 37.3% of women in the Cardiff TTWA work part-time. During this reporting period, 26.6% of women in our workforce work part time, a small </w:t>
      </w:r>
      <w:r w:rsidR="00140B2F">
        <w:t>increase from 25.1% in 2015-16;</w:t>
      </w:r>
    </w:p>
    <w:p w14:paraId="208C85CE" w14:textId="2541DDF0" w:rsidR="00630025" w:rsidRDefault="00630025" w:rsidP="00630025">
      <w:pPr>
        <w:pStyle w:val="4Bulletlist"/>
      </w:pPr>
      <w:r>
        <w:t>The 2011 Census data shows that 9.9% of men in the Cardiff TTWA work part-time. During this reporting period, 6.9% of men in our workforce work part time, a</w:t>
      </w:r>
      <w:r w:rsidR="00140B2F">
        <w:t xml:space="preserve"> decrease from 8.4% in 2015-16;</w:t>
      </w:r>
    </w:p>
    <w:p w14:paraId="49F5F811" w14:textId="143F1CCA" w:rsidR="00630025" w:rsidRDefault="00630025" w:rsidP="00630025">
      <w:pPr>
        <w:pStyle w:val="4Bulletlist"/>
      </w:pPr>
      <w:r>
        <w:t xml:space="preserve">Our part-time </w:t>
      </w:r>
      <w:proofErr w:type="gramStart"/>
      <w:r>
        <w:t>staff use</w:t>
      </w:r>
      <w:proofErr w:type="gramEnd"/>
      <w:r>
        <w:t xml:space="preserve"> a number of flexible working options as either a formal or informal arrangement. Flexible working options include: compressed hours, annualised flexi leave and working from home. Anecdotally, we are aware that many members of staff, including men at senior level, utilise these arrangements. The figures in the table above refer to formal arrangements only; </w:t>
      </w:r>
    </w:p>
    <w:p w14:paraId="7C3A81E8" w14:textId="3FD22F8E" w:rsidR="00630025" w:rsidRDefault="00630025" w:rsidP="00630025">
      <w:pPr>
        <w:pStyle w:val="4Bulletlist"/>
      </w:pPr>
      <w:r>
        <w:t>The data shows that men are less likely to work part-time than women in our workforce, this is particularly the case for men in the top two grades (E1 and Senior) where no men work part-time on a formal basis but might utilise other flexible working options (as described above) ; and</w:t>
      </w:r>
    </w:p>
    <w:p w14:paraId="3B795BB8" w14:textId="5FAD5C15" w:rsidR="00630025" w:rsidRPr="00630025" w:rsidRDefault="00630025" w:rsidP="00630025">
      <w:pPr>
        <w:pStyle w:val="4Bulletlist"/>
      </w:pPr>
      <w:r>
        <w:t>We have also received recognition from Working Families for the breadth of flexible working options that we have available.</w:t>
      </w:r>
    </w:p>
    <w:p w14:paraId="20F0B16A" w14:textId="77777777" w:rsidR="00630025" w:rsidRDefault="00630025">
      <w:pPr>
        <w:spacing w:before="0" w:after="160" w:line="259" w:lineRule="auto"/>
        <w:rPr>
          <w:rFonts w:eastAsia="Lucida Sans" w:cs="Times New Roman"/>
          <w:color w:val="414042"/>
          <w:kern w:val="24"/>
        </w:rPr>
      </w:pPr>
      <w:r>
        <w:rPr>
          <w:rFonts w:eastAsia="Lucida Sans" w:cs="Times New Roman"/>
          <w:color w:val="414042"/>
          <w:kern w:val="24"/>
        </w:rPr>
        <w:br w:type="page"/>
      </w:r>
    </w:p>
    <w:p w14:paraId="56AD31EB" w14:textId="0B4A651C" w:rsidR="00630025" w:rsidRDefault="00630025" w:rsidP="00630025">
      <w:pPr>
        <w:pStyle w:val="2Sub-headings"/>
        <w:rPr>
          <w:rFonts w:eastAsia="Lucida Sans"/>
        </w:rPr>
      </w:pPr>
      <w:r w:rsidRPr="00630025">
        <w:rPr>
          <w:rFonts w:eastAsia="Lucida Sans"/>
        </w:rPr>
        <w:lastRenderedPageBreak/>
        <w:t>Gender Reassignment</w:t>
      </w:r>
    </w:p>
    <w:p w14:paraId="754DD787" w14:textId="30E8DB91" w:rsidR="00616F86" w:rsidRDefault="00616F86" w:rsidP="00616F86">
      <w:pPr>
        <w:pStyle w:val="Caption"/>
        <w:keepNext/>
      </w:pPr>
      <w:r>
        <w:t xml:space="preserve">Table </w:t>
      </w:r>
      <w:fldSimple w:instr=" SEQ Table \* ARABIC ">
        <w:r w:rsidR="00332158">
          <w:rPr>
            <w:noProof/>
          </w:rPr>
          <w:t>9</w:t>
        </w:r>
      </w:fldSimple>
      <w:r>
        <w:t xml:space="preserve">: </w:t>
      </w:r>
      <w:r w:rsidRPr="00E93037">
        <w:t>Workforce Profile</w:t>
      </w:r>
    </w:p>
    <w:tbl>
      <w:tblPr>
        <w:tblStyle w:val="GridTable4-Accent4"/>
        <w:tblW w:w="0" w:type="auto"/>
        <w:tblLook w:val="04A0" w:firstRow="1" w:lastRow="0" w:firstColumn="1" w:lastColumn="0" w:noHBand="0" w:noVBand="1"/>
      </w:tblPr>
      <w:tblGrid>
        <w:gridCol w:w="1909"/>
        <w:gridCol w:w="1784"/>
        <w:gridCol w:w="1679"/>
      </w:tblGrid>
      <w:tr w:rsidR="00630025" w:rsidRPr="00630025" w14:paraId="1AB4C4A7" w14:textId="77777777" w:rsidTr="006300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6374B7" w14:textId="77777777" w:rsidR="00630025" w:rsidRPr="00630025" w:rsidRDefault="00630025" w:rsidP="00630025">
            <w:pPr>
              <w:spacing w:before="0" w:after="200" w:line="264" w:lineRule="auto"/>
              <w:rPr>
                <w:rFonts w:eastAsia="Calibri" w:cs="Times New Roman"/>
              </w:rPr>
            </w:pPr>
            <w:r w:rsidRPr="00630025">
              <w:rPr>
                <w:rFonts w:eastAsia="Calibri" w:cs="Times New Roman"/>
              </w:rPr>
              <w:t> </w:t>
            </w:r>
          </w:p>
        </w:tc>
        <w:tc>
          <w:tcPr>
            <w:tcW w:w="0" w:type="auto"/>
            <w:noWrap/>
            <w:hideMark/>
          </w:tcPr>
          <w:p w14:paraId="7F815D21"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Number of Staff</w:t>
            </w:r>
          </w:p>
        </w:tc>
        <w:tc>
          <w:tcPr>
            <w:tcW w:w="0" w:type="auto"/>
            <w:noWrap/>
            <w:hideMark/>
          </w:tcPr>
          <w:p w14:paraId="20DEB439"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 of workforce</w:t>
            </w:r>
          </w:p>
        </w:tc>
      </w:tr>
      <w:tr w:rsidR="00630025" w:rsidRPr="00630025" w14:paraId="49709DCF" w14:textId="77777777" w:rsidTr="00630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E8FB42"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Transgender</w:t>
            </w:r>
          </w:p>
        </w:tc>
        <w:tc>
          <w:tcPr>
            <w:tcW w:w="0" w:type="auto"/>
            <w:noWrap/>
            <w:hideMark/>
          </w:tcPr>
          <w:p w14:paraId="3BFBDC7B"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0" w:type="auto"/>
            <w:noWrap/>
            <w:hideMark/>
          </w:tcPr>
          <w:p w14:paraId="48463BCA"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r>
      <w:tr w:rsidR="00630025" w:rsidRPr="00630025" w14:paraId="7CC0655E" w14:textId="77777777" w:rsidTr="00630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62D77C"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 xml:space="preserve">Non Transgender </w:t>
            </w:r>
          </w:p>
        </w:tc>
        <w:tc>
          <w:tcPr>
            <w:tcW w:w="0" w:type="auto"/>
            <w:noWrap/>
            <w:hideMark/>
          </w:tcPr>
          <w:p w14:paraId="6AF155E2"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462</w:t>
            </w:r>
          </w:p>
        </w:tc>
        <w:tc>
          <w:tcPr>
            <w:tcW w:w="0" w:type="auto"/>
            <w:noWrap/>
            <w:hideMark/>
          </w:tcPr>
          <w:p w14:paraId="4778B4E4"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96.9%</w:t>
            </w:r>
          </w:p>
        </w:tc>
      </w:tr>
      <w:tr w:rsidR="00630025" w:rsidRPr="00630025" w14:paraId="0F513EB9" w14:textId="77777777" w:rsidTr="00630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FDBF7B"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Prefer not to Say</w:t>
            </w:r>
          </w:p>
        </w:tc>
        <w:tc>
          <w:tcPr>
            <w:tcW w:w="0" w:type="auto"/>
            <w:noWrap/>
            <w:hideMark/>
          </w:tcPr>
          <w:p w14:paraId="50A7C718"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0" w:type="auto"/>
            <w:noWrap/>
            <w:hideMark/>
          </w:tcPr>
          <w:p w14:paraId="4F8DD5D5"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r>
      <w:tr w:rsidR="00630025" w:rsidRPr="00630025" w14:paraId="62682414" w14:textId="77777777" w:rsidTr="00630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DFF9BA"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No reply</w:t>
            </w:r>
          </w:p>
        </w:tc>
        <w:tc>
          <w:tcPr>
            <w:tcW w:w="0" w:type="auto"/>
            <w:noWrap/>
            <w:hideMark/>
          </w:tcPr>
          <w:p w14:paraId="3D7C2917"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15</w:t>
            </w:r>
          </w:p>
        </w:tc>
        <w:tc>
          <w:tcPr>
            <w:tcW w:w="0" w:type="auto"/>
            <w:noWrap/>
            <w:hideMark/>
          </w:tcPr>
          <w:p w14:paraId="5F412CFF"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3.1%</w:t>
            </w:r>
          </w:p>
        </w:tc>
      </w:tr>
      <w:tr w:rsidR="00630025" w:rsidRPr="00630025" w14:paraId="38749589" w14:textId="77777777" w:rsidTr="00630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3CED41"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 </w:t>
            </w:r>
          </w:p>
        </w:tc>
        <w:tc>
          <w:tcPr>
            <w:tcW w:w="0" w:type="auto"/>
            <w:noWrap/>
            <w:hideMark/>
          </w:tcPr>
          <w:p w14:paraId="4C66B639"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477</w:t>
            </w:r>
          </w:p>
        </w:tc>
        <w:tc>
          <w:tcPr>
            <w:tcW w:w="0" w:type="auto"/>
            <w:noWrap/>
            <w:hideMark/>
          </w:tcPr>
          <w:p w14:paraId="1B6979DB"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100.0%</w:t>
            </w:r>
          </w:p>
        </w:tc>
      </w:tr>
    </w:tbl>
    <w:p w14:paraId="24AF1AC2" w14:textId="77777777" w:rsidR="00630025" w:rsidRPr="00630025" w:rsidRDefault="00630025" w:rsidP="00616F86">
      <w:pPr>
        <w:pStyle w:val="3Copy-text"/>
      </w:pPr>
      <w:r w:rsidRPr="00630025">
        <w:t>Disclosure rate: 96.9%</w:t>
      </w:r>
    </w:p>
    <w:p w14:paraId="6CA2586E" w14:textId="77777777" w:rsidR="00630025" w:rsidRPr="00630025" w:rsidRDefault="00630025" w:rsidP="00616F86">
      <w:pPr>
        <w:pStyle w:val="3Copy-text"/>
      </w:pPr>
      <w:r w:rsidRPr="00630025">
        <w:t>Analysis:</w:t>
      </w:r>
    </w:p>
    <w:p w14:paraId="2B277540" w14:textId="674965F0" w:rsidR="00630025" w:rsidRPr="00630025" w:rsidRDefault="00630025" w:rsidP="00630025">
      <w:pPr>
        <w:pStyle w:val="4Bulletlist"/>
      </w:pPr>
      <w:r w:rsidRPr="00630025">
        <w:t xml:space="preserve">No members of staff have identified as transgender, including non-binary; </w:t>
      </w:r>
    </w:p>
    <w:p w14:paraId="23C9EF18" w14:textId="5FC1840A" w:rsidR="00630025" w:rsidRPr="00630025" w:rsidRDefault="00630025" w:rsidP="00630025">
      <w:pPr>
        <w:pStyle w:val="4Bulletlist"/>
      </w:pPr>
      <w:r w:rsidRPr="00630025">
        <w:t xml:space="preserve">The Assembly is listed as one of the top LGBT inclusive organisation in the UK in Stonewall’s Workplace Equality Index 2017. We celebrate this success and promote the Assembly as an employer of choice on social media, and at events such as Pride and Sparkle; and </w:t>
      </w:r>
    </w:p>
    <w:p w14:paraId="078539F0" w14:textId="77777777" w:rsidR="00630025" w:rsidRDefault="00630025" w:rsidP="00630025">
      <w:pPr>
        <w:pStyle w:val="4Bulletlist"/>
        <w:spacing w:before="0" w:after="160" w:line="259" w:lineRule="auto"/>
      </w:pPr>
      <w:r w:rsidRPr="00630025">
        <w:t>Staff have the ability to update their personal data and we are also encouraging staff to make sure that their information is correct and up to date.</w:t>
      </w:r>
    </w:p>
    <w:p w14:paraId="00067FB1" w14:textId="77777777" w:rsidR="00630025" w:rsidRDefault="00630025" w:rsidP="00616F86">
      <w:pPr>
        <w:pStyle w:val="4Bulletlist"/>
        <w:numPr>
          <w:ilvl w:val="0"/>
          <w:numId w:val="0"/>
        </w:numPr>
        <w:spacing w:before="0" w:after="160" w:line="259" w:lineRule="auto"/>
      </w:pPr>
    </w:p>
    <w:p w14:paraId="2B8A2FC4" w14:textId="77777777" w:rsidR="00616F86" w:rsidRDefault="00616F86" w:rsidP="00616F86">
      <w:pPr>
        <w:pStyle w:val="4Bulletlist"/>
        <w:numPr>
          <w:ilvl w:val="0"/>
          <w:numId w:val="0"/>
        </w:numPr>
        <w:spacing w:before="0" w:after="160" w:line="259" w:lineRule="auto"/>
      </w:pPr>
    </w:p>
    <w:p w14:paraId="145D52E4" w14:textId="77777777" w:rsidR="00630025" w:rsidRDefault="00630025" w:rsidP="00A03923">
      <w:pPr>
        <w:pStyle w:val="4Bulletlist"/>
        <w:numPr>
          <w:ilvl w:val="0"/>
          <w:numId w:val="0"/>
        </w:numPr>
        <w:spacing w:before="0" w:after="160" w:line="259" w:lineRule="auto"/>
      </w:pPr>
    </w:p>
    <w:p w14:paraId="7EE05421" w14:textId="1128CC4A" w:rsidR="00616F86" w:rsidRDefault="00616F86" w:rsidP="00616F86">
      <w:pPr>
        <w:pStyle w:val="Caption"/>
        <w:keepNext/>
      </w:pPr>
      <w:r>
        <w:lastRenderedPageBreak/>
        <w:t xml:space="preserve">Table </w:t>
      </w:r>
      <w:fldSimple w:instr=" SEQ Table \* ARABIC ">
        <w:r w:rsidR="00332158">
          <w:rPr>
            <w:noProof/>
          </w:rPr>
          <w:t>10</w:t>
        </w:r>
      </w:fldSimple>
      <w:r>
        <w:t xml:space="preserve">: </w:t>
      </w:r>
      <w:r w:rsidRPr="00485795">
        <w:t>External Recruitment by Gender Reassignment</w:t>
      </w:r>
    </w:p>
    <w:tbl>
      <w:tblPr>
        <w:tblStyle w:val="GridTable4-Accent4"/>
        <w:tblW w:w="5000" w:type="pct"/>
        <w:tblLook w:val="04A0" w:firstRow="1" w:lastRow="0" w:firstColumn="1" w:lastColumn="0" w:noHBand="0" w:noVBand="1"/>
      </w:tblPr>
      <w:tblGrid>
        <w:gridCol w:w="1810"/>
        <w:gridCol w:w="1012"/>
        <w:gridCol w:w="1594"/>
        <w:gridCol w:w="1012"/>
        <w:gridCol w:w="1996"/>
        <w:gridCol w:w="1012"/>
        <w:gridCol w:w="2448"/>
        <w:gridCol w:w="1281"/>
        <w:gridCol w:w="1496"/>
        <w:gridCol w:w="1125"/>
      </w:tblGrid>
      <w:tr w:rsidR="00630025" w:rsidRPr="00630025" w14:paraId="63CC0FEB" w14:textId="77777777" w:rsidTr="00A03923">
        <w:trPr>
          <w:cnfStyle w:val="100000000000" w:firstRow="1" w:lastRow="0" w:firstColumn="0" w:lastColumn="0" w:oddVBand="0" w:evenVBand="0" w:oddHBand="0"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0" w:type="auto"/>
          </w:tcPr>
          <w:p w14:paraId="47FB7DA2" w14:textId="77777777" w:rsidR="00630025" w:rsidRPr="00630025" w:rsidRDefault="00630025" w:rsidP="00630025">
            <w:pPr>
              <w:spacing w:before="0" w:after="200" w:line="264" w:lineRule="auto"/>
              <w:rPr>
                <w:rFonts w:eastAsia="Calibri" w:cs="Times New Roman"/>
              </w:rPr>
            </w:pPr>
            <w:bookmarkStart w:id="8" w:name="OLE_LINK1"/>
          </w:p>
        </w:tc>
        <w:tc>
          <w:tcPr>
            <w:tcW w:w="0" w:type="auto"/>
            <w:gridSpan w:val="2"/>
            <w:hideMark/>
          </w:tcPr>
          <w:p w14:paraId="160F8473"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Applications received</w:t>
            </w:r>
          </w:p>
        </w:tc>
        <w:tc>
          <w:tcPr>
            <w:tcW w:w="0" w:type="auto"/>
            <w:gridSpan w:val="2"/>
            <w:hideMark/>
          </w:tcPr>
          <w:p w14:paraId="6C58E606"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Successful at sift</w:t>
            </w:r>
          </w:p>
        </w:tc>
        <w:tc>
          <w:tcPr>
            <w:tcW w:w="0" w:type="auto"/>
            <w:gridSpan w:val="2"/>
            <w:hideMark/>
          </w:tcPr>
          <w:p w14:paraId="297D6180"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Offer of employment</w:t>
            </w:r>
          </w:p>
        </w:tc>
        <w:tc>
          <w:tcPr>
            <w:tcW w:w="0" w:type="auto"/>
            <w:hideMark/>
          </w:tcPr>
          <w:p w14:paraId="4A1245F0"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Overall success rate</w:t>
            </w:r>
          </w:p>
        </w:tc>
        <w:tc>
          <w:tcPr>
            <w:tcW w:w="0" w:type="auto"/>
            <w:hideMark/>
          </w:tcPr>
          <w:p w14:paraId="3A11EB3E"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Overall success rate 2015-16</w:t>
            </w:r>
          </w:p>
        </w:tc>
        <w:tc>
          <w:tcPr>
            <w:tcW w:w="0" w:type="auto"/>
            <w:hideMark/>
          </w:tcPr>
          <w:p w14:paraId="5C7A884E" w14:textId="77777777" w:rsidR="00630025" w:rsidRPr="00630025" w:rsidRDefault="00630025" w:rsidP="00630025">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630025">
              <w:rPr>
                <w:rFonts w:eastAsia="Calibri" w:cs="Times New Roman"/>
              </w:rPr>
              <w:t>% of total job offers</w:t>
            </w:r>
          </w:p>
        </w:tc>
      </w:tr>
      <w:tr w:rsidR="00630025" w:rsidRPr="00630025" w14:paraId="24AFB5D0" w14:textId="77777777" w:rsidTr="00A03923">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0" w:type="auto"/>
          </w:tcPr>
          <w:p w14:paraId="268BA6AE" w14:textId="77777777" w:rsidR="00630025" w:rsidRPr="00630025" w:rsidRDefault="00630025" w:rsidP="00630025">
            <w:pPr>
              <w:spacing w:before="0" w:after="200" w:line="264" w:lineRule="auto"/>
              <w:rPr>
                <w:rFonts w:eastAsia="Calibri" w:cs="Times New Roman"/>
                <w:color w:val="000000"/>
              </w:rPr>
            </w:pPr>
          </w:p>
        </w:tc>
        <w:tc>
          <w:tcPr>
            <w:tcW w:w="0" w:type="auto"/>
            <w:hideMark/>
          </w:tcPr>
          <w:p w14:paraId="568621CC"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number</w:t>
            </w:r>
          </w:p>
        </w:tc>
        <w:tc>
          <w:tcPr>
            <w:tcW w:w="0" w:type="auto"/>
            <w:hideMark/>
          </w:tcPr>
          <w:p w14:paraId="72CB7EF9"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 of total application</w:t>
            </w:r>
          </w:p>
        </w:tc>
        <w:tc>
          <w:tcPr>
            <w:tcW w:w="0" w:type="auto"/>
            <w:hideMark/>
          </w:tcPr>
          <w:p w14:paraId="03D31DEE"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number</w:t>
            </w:r>
          </w:p>
        </w:tc>
        <w:tc>
          <w:tcPr>
            <w:tcW w:w="0" w:type="auto"/>
            <w:hideMark/>
          </w:tcPr>
          <w:p w14:paraId="552FF685"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 of applications successful at sift</w:t>
            </w:r>
          </w:p>
        </w:tc>
        <w:tc>
          <w:tcPr>
            <w:tcW w:w="0" w:type="auto"/>
            <w:hideMark/>
          </w:tcPr>
          <w:p w14:paraId="2C113BF6"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number</w:t>
            </w:r>
          </w:p>
        </w:tc>
        <w:tc>
          <w:tcPr>
            <w:tcW w:w="0" w:type="auto"/>
            <w:hideMark/>
          </w:tcPr>
          <w:p w14:paraId="2C361892"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 of those successful at sift offered employment</w:t>
            </w:r>
          </w:p>
        </w:tc>
        <w:tc>
          <w:tcPr>
            <w:tcW w:w="0" w:type="auto"/>
            <w:hideMark/>
          </w:tcPr>
          <w:p w14:paraId="32596877"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w:t>
            </w:r>
          </w:p>
        </w:tc>
        <w:tc>
          <w:tcPr>
            <w:tcW w:w="0" w:type="auto"/>
            <w:hideMark/>
          </w:tcPr>
          <w:p w14:paraId="2B09656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w:t>
            </w:r>
          </w:p>
        </w:tc>
        <w:tc>
          <w:tcPr>
            <w:tcW w:w="0" w:type="auto"/>
            <w:hideMark/>
          </w:tcPr>
          <w:p w14:paraId="22835DBC"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630025">
              <w:rPr>
                <w:rFonts w:eastAsia="Calibri" w:cs="Times New Roman"/>
                <w:b/>
                <w:color w:val="000000"/>
              </w:rPr>
              <w:t>%</w:t>
            </w:r>
          </w:p>
        </w:tc>
      </w:tr>
      <w:tr w:rsidR="00630025" w:rsidRPr="00630025" w14:paraId="381D4F2C" w14:textId="77777777" w:rsidTr="00A03923">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03DEAF1A"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Identify as transgender</w:t>
            </w:r>
          </w:p>
        </w:tc>
        <w:tc>
          <w:tcPr>
            <w:tcW w:w="0" w:type="auto"/>
            <w:hideMark/>
          </w:tcPr>
          <w:p w14:paraId="10F03750"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w:t>
            </w:r>
          </w:p>
        </w:tc>
        <w:tc>
          <w:tcPr>
            <w:tcW w:w="0" w:type="auto"/>
            <w:hideMark/>
          </w:tcPr>
          <w:p w14:paraId="6A86BABF"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0.1</w:t>
            </w:r>
          </w:p>
        </w:tc>
        <w:tc>
          <w:tcPr>
            <w:tcW w:w="0" w:type="auto"/>
            <w:hideMark/>
          </w:tcPr>
          <w:p w14:paraId="4DB7248D"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0" w:type="auto"/>
            <w:hideMark/>
          </w:tcPr>
          <w:p w14:paraId="06021609"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0" w:type="auto"/>
            <w:hideMark/>
          </w:tcPr>
          <w:p w14:paraId="1913FE76"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0" w:type="auto"/>
            <w:hideMark/>
          </w:tcPr>
          <w:p w14:paraId="2F15A845"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0" w:type="auto"/>
            <w:hideMark/>
          </w:tcPr>
          <w:p w14:paraId="6CE529C4"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0" w:type="auto"/>
            <w:hideMark/>
          </w:tcPr>
          <w:p w14:paraId="2E804814"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0" w:type="auto"/>
            <w:hideMark/>
          </w:tcPr>
          <w:p w14:paraId="0A59F51F"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r>
      <w:tr w:rsidR="00630025" w:rsidRPr="00630025" w14:paraId="52D77D39" w14:textId="77777777" w:rsidTr="00A03923">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0" w:type="auto"/>
            <w:hideMark/>
          </w:tcPr>
          <w:p w14:paraId="57732B91"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Not identify as transgender</w:t>
            </w:r>
          </w:p>
        </w:tc>
        <w:tc>
          <w:tcPr>
            <w:tcW w:w="0" w:type="auto"/>
            <w:hideMark/>
          </w:tcPr>
          <w:p w14:paraId="785B38AF"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639</w:t>
            </w:r>
          </w:p>
        </w:tc>
        <w:tc>
          <w:tcPr>
            <w:tcW w:w="0" w:type="auto"/>
            <w:hideMark/>
          </w:tcPr>
          <w:p w14:paraId="5E9A77B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94.9</w:t>
            </w:r>
          </w:p>
        </w:tc>
        <w:tc>
          <w:tcPr>
            <w:tcW w:w="0" w:type="auto"/>
            <w:hideMark/>
          </w:tcPr>
          <w:p w14:paraId="66EEFE0B"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257</w:t>
            </w:r>
          </w:p>
        </w:tc>
        <w:tc>
          <w:tcPr>
            <w:tcW w:w="0" w:type="auto"/>
            <w:hideMark/>
          </w:tcPr>
          <w:p w14:paraId="7994DB09"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40.2</w:t>
            </w:r>
          </w:p>
        </w:tc>
        <w:tc>
          <w:tcPr>
            <w:tcW w:w="0" w:type="auto"/>
            <w:hideMark/>
          </w:tcPr>
          <w:p w14:paraId="5EA3EFD0"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60</w:t>
            </w:r>
          </w:p>
        </w:tc>
        <w:tc>
          <w:tcPr>
            <w:tcW w:w="0" w:type="auto"/>
            <w:hideMark/>
          </w:tcPr>
          <w:p w14:paraId="5233EF07"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23.3</w:t>
            </w:r>
          </w:p>
        </w:tc>
        <w:tc>
          <w:tcPr>
            <w:tcW w:w="0" w:type="auto"/>
            <w:hideMark/>
          </w:tcPr>
          <w:p w14:paraId="2D65D209"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9.4</w:t>
            </w:r>
          </w:p>
        </w:tc>
        <w:tc>
          <w:tcPr>
            <w:tcW w:w="0" w:type="auto"/>
            <w:hideMark/>
          </w:tcPr>
          <w:p w14:paraId="36376BBA"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4.6</w:t>
            </w:r>
          </w:p>
        </w:tc>
        <w:tc>
          <w:tcPr>
            <w:tcW w:w="0" w:type="auto"/>
            <w:hideMark/>
          </w:tcPr>
          <w:p w14:paraId="072C8ADA"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98.4</w:t>
            </w:r>
          </w:p>
        </w:tc>
      </w:tr>
      <w:tr w:rsidR="00630025" w:rsidRPr="00630025" w14:paraId="558B2AFC" w14:textId="77777777" w:rsidTr="00A03923">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2FEBDE1B"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 xml:space="preserve">Prefer not to say </w:t>
            </w:r>
          </w:p>
        </w:tc>
        <w:tc>
          <w:tcPr>
            <w:tcW w:w="0" w:type="auto"/>
            <w:hideMark/>
          </w:tcPr>
          <w:p w14:paraId="06B488F4"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11</w:t>
            </w:r>
          </w:p>
        </w:tc>
        <w:tc>
          <w:tcPr>
            <w:tcW w:w="0" w:type="auto"/>
            <w:hideMark/>
          </w:tcPr>
          <w:p w14:paraId="56F6B5A2"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1.6</w:t>
            </w:r>
          </w:p>
        </w:tc>
        <w:tc>
          <w:tcPr>
            <w:tcW w:w="0" w:type="auto"/>
            <w:hideMark/>
          </w:tcPr>
          <w:p w14:paraId="51A2DC25"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w:t>
            </w:r>
          </w:p>
        </w:tc>
        <w:tc>
          <w:tcPr>
            <w:tcW w:w="0" w:type="auto"/>
            <w:hideMark/>
          </w:tcPr>
          <w:p w14:paraId="6FE45E8A"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9.1</w:t>
            </w:r>
          </w:p>
        </w:tc>
        <w:tc>
          <w:tcPr>
            <w:tcW w:w="0" w:type="auto"/>
            <w:hideMark/>
          </w:tcPr>
          <w:p w14:paraId="270BD1F0"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w:t>
            </w:r>
          </w:p>
        </w:tc>
        <w:tc>
          <w:tcPr>
            <w:tcW w:w="0" w:type="auto"/>
            <w:hideMark/>
          </w:tcPr>
          <w:p w14:paraId="0B81BD22"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100.0</w:t>
            </w:r>
          </w:p>
        </w:tc>
        <w:tc>
          <w:tcPr>
            <w:tcW w:w="0" w:type="auto"/>
            <w:hideMark/>
          </w:tcPr>
          <w:p w14:paraId="0B4165C5"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9.1</w:t>
            </w:r>
          </w:p>
        </w:tc>
        <w:tc>
          <w:tcPr>
            <w:tcW w:w="0" w:type="auto"/>
            <w:hideMark/>
          </w:tcPr>
          <w:p w14:paraId="66E9F4AE"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33.3</w:t>
            </w:r>
          </w:p>
        </w:tc>
        <w:tc>
          <w:tcPr>
            <w:tcW w:w="0" w:type="auto"/>
            <w:hideMark/>
          </w:tcPr>
          <w:p w14:paraId="385CA74E"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1.6</w:t>
            </w:r>
          </w:p>
        </w:tc>
      </w:tr>
      <w:tr w:rsidR="00630025" w:rsidRPr="00630025" w14:paraId="0AE296DD" w14:textId="77777777" w:rsidTr="00A0392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56FCE29B"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No reply</w:t>
            </w:r>
          </w:p>
        </w:tc>
        <w:tc>
          <w:tcPr>
            <w:tcW w:w="0" w:type="auto"/>
            <w:hideMark/>
          </w:tcPr>
          <w:p w14:paraId="3E8E451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22</w:t>
            </w:r>
          </w:p>
        </w:tc>
        <w:tc>
          <w:tcPr>
            <w:tcW w:w="0" w:type="auto"/>
            <w:hideMark/>
          </w:tcPr>
          <w:p w14:paraId="72FCD1E6"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3.3</w:t>
            </w:r>
          </w:p>
        </w:tc>
        <w:tc>
          <w:tcPr>
            <w:tcW w:w="0" w:type="auto"/>
            <w:hideMark/>
          </w:tcPr>
          <w:p w14:paraId="680D6940"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7</w:t>
            </w:r>
          </w:p>
        </w:tc>
        <w:tc>
          <w:tcPr>
            <w:tcW w:w="0" w:type="auto"/>
            <w:hideMark/>
          </w:tcPr>
          <w:p w14:paraId="658BB076"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31.8</w:t>
            </w:r>
          </w:p>
        </w:tc>
        <w:tc>
          <w:tcPr>
            <w:tcW w:w="0" w:type="auto"/>
            <w:hideMark/>
          </w:tcPr>
          <w:p w14:paraId="3AFD9481"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w:t>
            </w:r>
          </w:p>
        </w:tc>
        <w:tc>
          <w:tcPr>
            <w:tcW w:w="0" w:type="auto"/>
            <w:hideMark/>
          </w:tcPr>
          <w:p w14:paraId="2D36F973"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0" w:type="auto"/>
            <w:hideMark/>
          </w:tcPr>
          <w:p w14:paraId="310C696D"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c>
          <w:tcPr>
            <w:tcW w:w="0" w:type="auto"/>
            <w:hideMark/>
          </w:tcPr>
          <w:p w14:paraId="44353A5D"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6.1</w:t>
            </w:r>
          </w:p>
        </w:tc>
        <w:tc>
          <w:tcPr>
            <w:tcW w:w="0" w:type="auto"/>
            <w:hideMark/>
          </w:tcPr>
          <w:p w14:paraId="490CCB5D" w14:textId="77777777" w:rsidR="00630025" w:rsidRPr="00630025" w:rsidRDefault="00630025" w:rsidP="00630025">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630025">
              <w:rPr>
                <w:rFonts w:eastAsia="Calibri" w:cs="Times New Roman"/>
                <w:color w:val="000000"/>
              </w:rPr>
              <w:t>0.0</w:t>
            </w:r>
          </w:p>
        </w:tc>
      </w:tr>
      <w:tr w:rsidR="00630025" w:rsidRPr="00630025" w14:paraId="65844CC1" w14:textId="77777777" w:rsidTr="00A03923">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31C25B3A" w14:textId="77777777" w:rsidR="00630025" w:rsidRPr="00630025" w:rsidRDefault="00630025" w:rsidP="00630025">
            <w:pPr>
              <w:spacing w:before="0" w:after="200" w:line="264" w:lineRule="auto"/>
              <w:rPr>
                <w:rFonts w:eastAsia="Calibri" w:cs="Times New Roman"/>
                <w:color w:val="000000"/>
              </w:rPr>
            </w:pPr>
            <w:r w:rsidRPr="00630025">
              <w:rPr>
                <w:rFonts w:eastAsia="Calibri" w:cs="Times New Roman"/>
                <w:color w:val="000000"/>
              </w:rPr>
              <w:t>Total</w:t>
            </w:r>
          </w:p>
        </w:tc>
        <w:tc>
          <w:tcPr>
            <w:tcW w:w="0" w:type="auto"/>
            <w:hideMark/>
          </w:tcPr>
          <w:p w14:paraId="083289BB"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673</w:t>
            </w:r>
          </w:p>
        </w:tc>
        <w:tc>
          <w:tcPr>
            <w:tcW w:w="0" w:type="auto"/>
            <w:hideMark/>
          </w:tcPr>
          <w:p w14:paraId="15DA6D41"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100.00</w:t>
            </w:r>
          </w:p>
        </w:tc>
        <w:tc>
          <w:tcPr>
            <w:tcW w:w="0" w:type="auto"/>
            <w:hideMark/>
          </w:tcPr>
          <w:p w14:paraId="779E116E"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265</w:t>
            </w:r>
          </w:p>
        </w:tc>
        <w:tc>
          <w:tcPr>
            <w:tcW w:w="0" w:type="auto"/>
            <w:hideMark/>
          </w:tcPr>
          <w:p w14:paraId="060F995B"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39.4</w:t>
            </w:r>
          </w:p>
        </w:tc>
        <w:tc>
          <w:tcPr>
            <w:tcW w:w="0" w:type="auto"/>
            <w:hideMark/>
          </w:tcPr>
          <w:p w14:paraId="1F7AFD38"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61</w:t>
            </w:r>
          </w:p>
        </w:tc>
        <w:tc>
          <w:tcPr>
            <w:tcW w:w="0" w:type="auto"/>
            <w:hideMark/>
          </w:tcPr>
          <w:p w14:paraId="4C5119EC"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 xml:space="preserve">23.0 </w:t>
            </w:r>
          </w:p>
        </w:tc>
        <w:tc>
          <w:tcPr>
            <w:tcW w:w="0" w:type="auto"/>
            <w:hideMark/>
          </w:tcPr>
          <w:p w14:paraId="5E5C3EA3"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9.1</w:t>
            </w:r>
          </w:p>
        </w:tc>
        <w:tc>
          <w:tcPr>
            <w:tcW w:w="0" w:type="auto"/>
            <w:hideMark/>
          </w:tcPr>
          <w:p w14:paraId="13DBCD22"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630025">
              <w:rPr>
                <w:rFonts w:eastAsia="Calibri" w:cs="Times New Roman"/>
                <w:color w:val="000000"/>
              </w:rPr>
              <w:t>4.8</w:t>
            </w:r>
          </w:p>
        </w:tc>
        <w:tc>
          <w:tcPr>
            <w:tcW w:w="0" w:type="auto"/>
          </w:tcPr>
          <w:p w14:paraId="725943A0" w14:textId="77777777" w:rsidR="00630025" w:rsidRPr="00630025" w:rsidRDefault="00630025" w:rsidP="00630025">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bookmarkEnd w:id="8"/>
      </w:tr>
    </w:tbl>
    <w:p w14:paraId="7FCBC434" w14:textId="4887E0C8" w:rsidR="00A03923" w:rsidRDefault="00A03923" w:rsidP="00630025">
      <w:pPr>
        <w:pStyle w:val="4Bulletlist"/>
        <w:numPr>
          <w:ilvl w:val="0"/>
          <w:numId w:val="0"/>
        </w:numPr>
        <w:spacing w:before="0" w:after="160" w:line="259" w:lineRule="auto"/>
        <w:ind w:left="1134" w:hanging="567"/>
      </w:pPr>
    </w:p>
    <w:p w14:paraId="1FC73412" w14:textId="77777777" w:rsidR="00A03923" w:rsidRDefault="00A03923">
      <w:pPr>
        <w:rPr>
          <w:rFonts w:eastAsia="Lucida Sans" w:cs="Times New Roman"/>
          <w:color w:val="414042"/>
          <w:kern w:val="24"/>
        </w:rPr>
      </w:pPr>
      <w:r>
        <w:br w:type="page"/>
      </w:r>
    </w:p>
    <w:p w14:paraId="3492C81A" w14:textId="77777777" w:rsidR="00630025" w:rsidRDefault="00630025" w:rsidP="00630025">
      <w:pPr>
        <w:pStyle w:val="3Copy-text"/>
      </w:pPr>
      <w:r>
        <w:lastRenderedPageBreak/>
        <w:t>Analysis:</w:t>
      </w:r>
      <w:r>
        <w:tab/>
      </w:r>
      <w:r>
        <w:tab/>
      </w:r>
      <w:r>
        <w:tab/>
      </w:r>
    </w:p>
    <w:p w14:paraId="7E136901" w14:textId="776B3603" w:rsidR="00630025" w:rsidRDefault="00630025" w:rsidP="00630025">
      <w:pPr>
        <w:pStyle w:val="4Bulletlist"/>
      </w:pPr>
      <w:r>
        <w:t>There has been a drop in the number of applications from people who identify as transgender, from four (0.5% of total applications) in 2015-2016 to one (0.1% of total applications) in 2016-2017;</w:t>
      </w:r>
    </w:p>
    <w:p w14:paraId="49B04A37" w14:textId="200753CB" w:rsidR="00630025" w:rsidRDefault="00630025" w:rsidP="00630025">
      <w:pPr>
        <w:pStyle w:val="4Bulletlist"/>
      </w:pPr>
      <w:r>
        <w:t>No replies continue to drop, from 9.4% in 2015-2016 to 3.3% in 2016-2017. However, this remains the highest number of no replies of all of the protected characteristics and it is difficult to draw conclusions as to why this might be;</w:t>
      </w:r>
    </w:p>
    <w:p w14:paraId="0B1C0DC1" w14:textId="5B01EEA5" w:rsidR="00630025" w:rsidRDefault="00630025" w:rsidP="00630025">
      <w:pPr>
        <w:pStyle w:val="4Bulletlist"/>
      </w:pPr>
      <w:r>
        <w:t>While there is no comparative statistics for the Cardiff TTWA in relation to people who identify as trans, Stonewall estimate that approximately 1% of the population identifies as transgender. Because of the small numbers involved, it is difficult to draw conclusions on transgender applicants; and</w:t>
      </w:r>
    </w:p>
    <w:p w14:paraId="3851815F" w14:textId="729614F1" w:rsidR="00630025" w:rsidRDefault="00630025" w:rsidP="00630025">
      <w:pPr>
        <w:pStyle w:val="4Bulletlist"/>
      </w:pPr>
      <w:r>
        <w:t>We actively promote the Assembly as a trans-inclusive employer by attending Pride and Sparkle events, promoting our support for International Day Against Homophobia, Biphobia and Transphobia, celebrating LGBT History Month and Trans Visibility day. We are also ranked fifth in Stonewall’s Workplace Equality Index that is now trans-inclusive.</w:t>
      </w:r>
    </w:p>
    <w:p w14:paraId="02AE63EE" w14:textId="77777777" w:rsidR="00630025" w:rsidRDefault="00630025">
      <w:pPr>
        <w:spacing w:before="0" w:after="160" w:line="259" w:lineRule="auto"/>
        <w:rPr>
          <w:rFonts w:eastAsia="Lucida Sans" w:cs="Times New Roman"/>
          <w:color w:val="414042"/>
          <w:kern w:val="24"/>
        </w:rPr>
      </w:pPr>
      <w:r>
        <w:br w:type="page"/>
      </w:r>
    </w:p>
    <w:p w14:paraId="66B2C0AA" w14:textId="671F0803" w:rsidR="00630025" w:rsidRDefault="00630025" w:rsidP="00630025">
      <w:pPr>
        <w:pStyle w:val="2Sub-headings"/>
      </w:pPr>
      <w:r w:rsidRPr="00630025">
        <w:lastRenderedPageBreak/>
        <w:t>Race/Ethnicity</w:t>
      </w:r>
    </w:p>
    <w:p w14:paraId="7932C589" w14:textId="53AD7CF3" w:rsidR="00616F86" w:rsidRDefault="00616F86" w:rsidP="00616F86">
      <w:pPr>
        <w:pStyle w:val="Caption"/>
        <w:keepNext/>
      </w:pPr>
      <w:r>
        <w:t xml:space="preserve">Table </w:t>
      </w:r>
      <w:fldSimple w:instr=" SEQ Table \* ARABIC ">
        <w:r w:rsidR="00332158">
          <w:rPr>
            <w:noProof/>
          </w:rPr>
          <w:t>11</w:t>
        </w:r>
      </w:fldSimple>
      <w:r>
        <w:t xml:space="preserve">: </w:t>
      </w:r>
      <w:r w:rsidRPr="004231C7">
        <w:t>Workforce Race/Ethnicity Profile</w:t>
      </w:r>
    </w:p>
    <w:tbl>
      <w:tblPr>
        <w:tblStyle w:val="GridTable4-Accent4"/>
        <w:tblW w:w="5000" w:type="pct"/>
        <w:tblLook w:val="04A0" w:firstRow="1" w:lastRow="0" w:firstColumn="1" w:lastColumn="0" w:noHBand="0" w:noVBand="1"/>
      </w:tblPr>
      <w:tblGrid>
        <w:gridCol w:w="970"/>
        <w:gridCol w:w="1375"/>
        <w:gridCol w:w="1904"/>
        <w:gridCol w:w="2079"/>
        <w:gridCol w:w="1183"/>
        <w:gridCol w:w="1310"/>
        <w:gridCol w:w="1183"/>
        <w:gridCol w:w="722"/>
        <w:gridCol w:w="4060"/>
      </w:tblGrid>
      <w:tr w:rsidR="00C7545E" w:rsidRPr="00C7545E" w14:paraId="626A7B71" w14:textId="77777777" w:rsidTr="00616F8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8" w:type="pct"/>
            <w:hideMark/>
          </w:tcPr>
          <w:p w14:paraId="0A18C00A" w14:textId="77777777" w:rsidR="00C7545E" w:rsidRPr="00C7545E" w:rsidRDefault="00C7545E" w:rsidP="00C7545E">
            <w:pPr>
              <w:spacing w:before="0" w:after="200" w:line="264" w:lineRule="auto"/>
              <w:rPr>
                <w:rFonts w:eastAsia="Calibri" w:cs="Times New Roman"/>
              </w:rPr>
            </w:pPr>
            <w:r w:rsidRPr="00C7545E">
              <w:rPr>
                <w:rFonts w:eastAsia="Calibri" w:cs="Times New Roman"/>
              </w:rPr>
              <w:t>Grade</w:t>
            </w:r>
          </w:p>
        </w:tc>
        <w:tc>
          <w:tcPr>
            <w:tcW w:w="465" w:type="pct"/>
            <w:hideMark/>
          </w:tcPr>
          <w:p w14:paraId="728BF92D"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Total staff</w:t>
            </w:r>
          </w:p>
        </w:tc>
        <w:tc>
          <w:tcPr>
            <w:tcW w:w="1347" w:type="pct"/>
            <w:gridSpan w:val="2"/>
            <w:hideMark/>
          </w:tcPr>
          <w:p w14:paraId="7EE3205D"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Black, minority ethnic (BME) staff</w:t>
            </w:r>
          </w:p>
        </w:tc>
        <w:tc>
          <w:tcPr>
            <w:tcW w:w="843" w:type="pct"/>
            <w:gridSpan w:val="2"/>
            <w:hideMark/>
          </w:tcPr>
          <w:p w14:paraId="6A5D9B13"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Non-BME staff</w:t>
            </w:r>
          </w:p>
        </w:tc>
        <w:tc>
          <w:tcPr>
            <w:tcW w:w="644" w:type="pct"/>
            <w:gridSpan w:val="2"/>
            <w:hideMark/>
          </w:tcPr>
          <w:p w14:paraId="24131B85"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No Reply/Prefer not to Say</w:t>
            </w:r>
          </w:p>
        </w:tc>
        <w:tc>
          <w:tcPr>
            <w:tcW w:w="1373" w:type="pct"/>
            <w:hideMark/>
          </w:tcPr>
          <w:p w14:paraId="0C137B36"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Comparison of BME staff by grade</w:t>
            </w:r>
          </w:p>
        </w:tc>
      </w:tr>
      <w:tr w:rsidR="00C7545E" w:rsidRPr="00C7545E" w14:paraId="7E2E77E8" w14:textId="77777777" w:rsidTr="00B05EB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28" w:type="pct"/>
            <w:hideMark/>
          </w:tcPr>
          <w:p w14:paraId="2A0E7A10"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 </w:t>
            </w:r>
          </w:p>
        </w:tc>
        <w:tc>
          <w:tcPr>
            <w:tcW w:w="465" w:type="pct"/>
            <w:hideMark/>
          </w:tcPr>
          <w:p w14:paraId="086D93C1"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number</w:t>
            </w:r>
          </w:p>
        </w:tc>
        <w:tc>
          <w:tcPr>
            <w:tcW w:w="644" w:type="pct"/>
            <w:hideMark/>
          </w:tcPr>
          <w:p w14:paraId="6ECA01B7"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number</w:t>
            </w:r>
          </w:p>
        </w:tc>
        <w:tc>
          <w:tcPr>
            <w:tcW w:w="703" w:type="pct"/>
            <w:hideMark/>
          </w:tcPr>
          <w:p w14:paraId="56B0C8E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w:t>
            </w:r>
          </w:p>
        </w:tc>
        <w:tc>
          <w:tcPr>
            <w:tcW w:w="400" w:type="pct"/>
            <w:hideMark/>
          </w:tcPr>
          <w:p w14:paraId="5719519D"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 xml:space="preserve">number </w:t>
            </w:r>
          </w:p>
        </w:tc>
        <w:tc>
          <w:tcPr>
            <w:tcW w:w="443" w:type="pct"/>
            <w:hideMark/>
          </w:tcPr>
          <w:p w14:paraId="015CD73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w:t>
            </w:r>
          </w:p>
        </w:tc>
        <w:tc>
          <w:tcPr>
            <w:tcW w:w="400" w:type="pct"/>
            <w:hideMark/>
          </w:tcPr>
          <w:p w14:paraId="61BA2BE1"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 xml:space="preserve">number </w:t>
            </w:r>
          </w:p>
        </w:tc>
        <w:tc>
          <w:tcPr>
            <w:tcW w:w="244" w:type="pct"/>
            <w:hideMark/>
          </w:tcPr>
          <w:p w14:paraId="3E32461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w:t>
            </w:r>
          </w:p>
        </w:tc>
        <w:tc>
          <w:tcPr>
            <w:tcW w:w="1373" w:type="pct"/>
            <w:hideMark/>
          </w:tcPr>
          <w:p w14:paraId="29B775C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2017 / 2016</w:t>
            </w:r>
          </w:p>
        </w:tc>
      </w:tr>
      <w:tr w:rsidR="00C7545E" w:rsidRPr="00C7545E" w14:paraId="5EC80FE9" w14:textId="77777777" w:rsidTr="00B05EBE">
        <w:trPr>
          <w:trHeight w:val="300"/>
        </w:trPr>
        <w:tc>
          <w:tcPr>
            <w:cnfStyle w:val="001000000000" w:firstRow="0" w:lastRow="0" w:firstColumn="1" w:lastColumn="0" w:oddVBand="0" w:evenVBand="0" w:oddHBand="0" w:evenHBand="0" w:firstRowFirstColumn="0" w:firstRowLastColumn="0" w:lastRowFirstColumn="0" w:lastRowLastColumn="0"/>
            <w:tcW w:w="328" w:type="pct"/>
            <w:hideMark/>
          </w:tcPr>
          <w:p w14:paraId="57BB01F4"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TS*</w:t>
            </w:r>
          </w:p>
        </w:tc>
        <w:tc>
          <w:tcPr>
            <w:tcW w:w="465" w:type="pct"/>
            <w:hideMark/>
          </w:tcPr>
          <w:p w14:paraId="3C46E574"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130</w:t>
            </w:r>
          </w:p>
        </w:tc>
        <w:tc>
          <w:tcPr>
            <w:tcW w:w="644" w:type="pct"/>
            <w:hideMark/>
          </w:tcPr>
          <w:p w14:paraId="06DD57A1"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12</w:t>
            </w:r>
          </w:p>
        </w:tc>
        <w:tc>
          <w:tcPr>
            <w:tcW w:w="703" w:type="pct"/>
            <w:hideMark/>
          </w:tcPr>
          <w:p w14:paraId="74776FB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9.2</w:t>
            </w:r>
          </w:p>
        </w:tc>
        <w:tc>
          <w:tcPr>
            <w:tcW w:w="400" w:type="pct"/>
            <w:hideMark/>
          </w:tcPr>
          <w:p w14:paraId="25058A1C"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113</w:t>
            </w:r>
          </w:p>
        </w:tc>
        <w:tc>
          <w:tcPr>
            <w:tcW w:w="443" w:type="pct"/>
            <w:hideMark/>
          </w:tcPr>
          <w:p w14:paraId="60902AB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86.9</w:t>
            </w:r>
          </w:p>
        </w:tc>
        <w:tc>
          <w:tcPr>
            <w:tcW w:w="400" w:type="pct"/>
            <w:hideMark/>
          </w:tcPr>
          <w:p w14:paraId="15C38074"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5</w:t>
            </w:r>
          </w:p>
        </w:tc>
        <w:tc>
          <w:tcPr>
            <w:tcW w:w="244" w:type="pct"/>
            <w:hideMark/>
          </w:tcPr>
          <w:p w14:paraId="0823B10B"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3.8</w:t>
            </w:r>
          </w:p>
        </w:tc>
        <w:tc>
          <w:tcPr>
            <w:tcW w:w="1373" w:type="pct"/>
            <w:hideMark/>
          </w:tcPr>
          <w:p w14:paraId="5C4BB0BC"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9.2 / 12.5</w:t>
            </w:r>
          </w:p>
        </w:tc>
      </w:tr>
      <w:tr w:rsidR="00C7545E" w:rsidRPr="00C7545E" w14:paraId="72A0113E" w14:textId="77777777" w:rsidTr="00B05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 w:type="pct"/>
            <w:hideMark/>
          </w:tcPr>
          <w:p w14:paraId="3C1741E6"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M3</w:t>
            </w:r>
          </w:p>
        </w:tc>
        <w:tc>
          <w:tcPr>
            <w:tcW w:w="465" w:type="pct"/>
            <w:hideMark/>
          </w:tcPr>
          <w:p w14:paraId="6347EFB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67</w:t>
            </w:r>
          </w:p>
        </w:tc>
        <w:tc>
          <w:tcPr>
            <w:tcW w:w="644" w:type="pct"/>
            <w:hideMark/>
          </w:tcPr>
          <w:p w14:paraId="59C5280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5</w:t>
            </w:r>
          </w:p>
        </w:tc>
        <w:tc>
          <w:tcPr>
            <w:tcW w:w="703" w:type="pct"/>
            <w:hideMark/>
          </w:tcPr>
          <w:p w14:paraId="7B9DBD3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7.5</w:t>
            </w:r>
          </w:p>
        </w:tc>
        <w:tc>
          <w:tcPr>
            <w:tcW w:w="400" w:type="pct"/>
            <w:hideMark/>
          </w:tcPr>
          <w:p w14:paraId="6D706F3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59</w:t>
            </w:r>
          </w:p>
        </w:tc>
        <w:tc>
          <w:tcPr>
            <w:tcW w:w="443" w:type="pct"/>
            <w:hideMark/>
          </w:tcPr>
          <w:p w14:paraId="0D67B6F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88.1</w:t>
            </w:r>
          </w:p>
        </w:tc>
        <w:tc>
          <w:tcPr>
            <w:tcW w:w="400" w:type="pct"/>
            <w:hideMark/>
          </w:tcPr>
          <w:p w14:paraId="5EE248A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w:t>
            </w:r>
          </w:p>
        </w:tc>
        <w:tc>
          <w:tcPr>
            <w:tcW w:w="244" w:type="pct"/>
            <w:hideMark/>
          </w:tcPr>
          <w:p w14:paraId="2A09968B"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4.5</w:t>
            </w:r>
          </w:p>
        </w:tc>
        <w:tc>
          <w:tcPr>
            <w:tcW w:w="1373" w:type="pct"/>
            <w:hideMark/>
          </w:tcPr>
          <w:p w14:paraId="4CE1199A"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7.5 / 7.7</w:t>
            </w:r>
          </w:p>
        </w:tc>
      </w:tr>
      <w:tr w:rsidR="00C7545E" w:rsidRPr="00C7545E" w14:paraId="5936A9AE" w14:textId="77777777" w:rsidTr="00B05EBE">
        <w:trPr>
          <w:trHeight w:val="300"/>
        </w:trPr>
        <w:tc>
          <w:tcPr>
            <w:cnfStyle w:val="001000000000" w:firstRow="0" w:lastRow="0" w:firstColumn="1" w:lastColumn="0" w:oddVBand="0" w:evenVBand="0" w:oddHBand="0" w:evenHBand="0" w:firstRowFirstColumn="0" w:firstRowLastColumn="0" w:lastRowFirstColumn="0" w:lastRowLastColumn="0"/>
            <w:tcW w:w="328" w:type="pct"/>
            <w:hideMark/>
          </w:tcPr>
          <w:p w14:paraId="01C271BC"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M2</w:t>
            </w:r>
          </w:p>
        </w:tc>
        <w:tc>
          <w:tcPr>
            <w:tcW w:w="465" w:type="pct"/>
            <w:hideMark/>
          </w:tcPr>
          <w:p w14:paraId="1B91F6AA"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125</w:t>
            </w:r>
          </w:p>
        </w:tc>
        <w:tc>
          <w:tcPr>
            <w:tcW w:w="644" w:type="pct"/>
            <w:hideMark/>
          </w:tcPr>
          <w:p w14:paraId="49B0A888"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w:t>
            </w:r>
          </w:p>
        </w:tc>
        <w:tc>
          <w:tcPr>
            <w:tcW w:w="703" w:type="pct"/>
            <w:hideMark/>
          </w:tcPr>
          <w:p w14:paraId="193E52E8"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400" w:type="pct"/>
            <w:hideMark/>
          </w:tcPr>
          <w:p w14:paraId="06FF5E89"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119</w:t>
            </w:r>
          </w:p>
        </w:tc>
        <w:tc>
          <w:tcPr>
            <w:tcW w:w="443" w:type="pct"/>
            <w:hideMark/>
          </w:tcPr>
          <w:p w14:paraId="0DDA4F7E"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95.2</w:t>
            </w:r>
          </w:p>
        </w:tc>
        <w:tc>
          <w:tcPr>
            <w:tcW w:w="400" w:type="pct"/>
            <w:hideMark/>
          </w:tcPr>
          <w:p w14:paraId="0B283E3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6</w:t>
            </w:r>
          </w:p>
        </w:tc>
        <w:tc>
          <w:tcPr>
            <w:tcW w:w="244" w:type="pct"/>
            <w:hideMark/>
          </w:tcPr>
          <w:p w14:paraId="21E76241"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4.8</w:t>
            </w:r>
          </w:p>
        </w:tc>
        <w:tc>
          <w:tcPr>
            <w:tcW w:w="1373" w:type="pct"/>
            <w:hideMark/>
          </w:tcPr>
          <w:p w14:paraId="44B119C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0.0 / 0.0</w:t>
            </w:r>
          </w:p>
        </w:tc>
      </w:tr>
      <w:tr w:rsidR="00C7545E" w:rsidRPr="00C7545E" w14:paraId="79D3F4DB" w14:textId="77777777" w:rsidTr="00B05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 w:type="pct"/>
            <w:hideMark/>
          </w:tcPr>
          <w:p w14:paraId="21184F81"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M1</w:t>
            </w:r>
          </w:p>
        </w:tc>
        <w:tc>
          <w:tcPr>
            <w:tcW w:w="465" w:type="pct"/>
            <w:hideMark/>
          </w:tcPr>
          <w:p w14:paraId="3CAED2CB"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72</w:t>
            </w:r>
          </w:p>
        </w:tc>
        <w:tc>
          <w:tcPr>
            <w:tcW w:w="644" w:type="pct"/>
            <w:hideMark/>
          </w:tcPr>
          <w:p w14:paraId="19D981CD"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0</w:t>
            </w:r>
          </w:p>
        </w:tc>
        <w:tc>
          <w:tcPr>
            <w:tcW w:w="703" w:type="pct"/>
            <w:hideMark/>
          </w:tcPr>
          <w:p w14:paraId="485556F6"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400" w:type="pct"/>
            <w:hideMark/>
          </w:tcPr>
          <w:p w14:paraId="0CF5EBC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72</w:t>
            </w:r>
          </w:p>
        </w:tc>
        <w:tc>
          <w:tcPr>
            <w:tcW w:w="443" w:type="pct"/>
            <w:hideMark/>
          </w:tcPr>
          <w:p w14:paraId="5162943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100.0</w:t>
            </w:r>
          </w:p>
        </w:tc>
        <w:tc>
          <w:tcPr>
            <w:tcW w:w="400" w:type="pct"/>
            <w:hideMark/>
          </w:tcPr>
          <w:p w14:paraId="4DDD164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0</w:t>
            </w:r>
          </w:p>
        </w:tc>
        <w:tc>
          <w:tcPr>
            <w:tcW w:w="244" w:type="pct"/>
            <w:hideMark/>
          </w:tcPr>
          <w:p w14:paraId="35ABF416"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1373" w:type="pct"/>
            <w:hideMark/>
          </w:tcPr>
          <w:p w14:paraId="20BFD17A"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0.0 / 0.0</w:t>
            </w:r>
          </w:p>
        </w:tc>
      </w:tr>
      <w:tr w:rsidR="00C7545E" w:rsidRPr="00C7545E" w14:paraId="3D78CA9B" w14:textId="77777777" w:rsidTr="00B05EBE">
        <w:trPr>
          <w:trHeight w:val="300"/>
        </w:trPr>
        <w:tc>
          <w:tcPr>
            <w:cnfStyle w:val="001000000000" w:firstRow="0" w:lastRow="0" w:firstColumn="1" w:lastColumn="0" w:oddVBand="0" w:evenVBand="0" w:oddHBand="0" w:evenHBand="0" w:firstRowFirstColumn="0" w:firstRowLastColumn="0" w:lastRowFirstColumn="0" w:lastRowLastColumn="0"/>
            <w:tcW w:w="328" w:type="pct"/>
            <w:hideMark/>
          </w:tcPr>
          <w:p w14:paraId="536576F5"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E2**</w:t>
            </w:r>
            <w:r w:rsidRPr="00C7545E">
              <w:rPr>
                <w:rFonts w:eastAsia="Calibri" w:cs="Times New Roman"/>
                <w:color w:val="000000"/>
              </w:rPr>
              <w:br/>
              <w:t>E1</w:t>
            </w:r>
            <w:r w:rsidRPr="00C7545E">
              <w:rPr>
                <w:rFonts w:eastAsia="Calibri" w:cs="Times New Roman"/>
                <w:color w:val="000000"/>
              </w:rPr>
              <w:br/>
              <w:t>Senior</w:t>
            </w:r>
          </w:p>
        </w:tc>
        <w:tc>
          <w:tcPr>
            <w:tcW w:w="465" w:type="pct"/>
            <w:hideMark/>
          </w:tcPr>
          <w:p w14:paraId="76918984"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72</w:t>
            </w:r>
          </w:p>
        </w:tc>
        <w:tc>
          <w:tcPr>
            <w:tcW w:w="644" w:type="pct"/>
            <w:hideMark/>
          </w:tcPr>
          <w:p w14:paraId="4855781A"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w:t>
            </w:r>
          </w:p>
        </w:tc>
        <w:tc>
          <w:tcPr>
            <w:tcW w:w="703" w:type="pct"/>
            <w:hideMark/>
          </w:tcPr>
          <w:p w14:paraId="11ED4DB2"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4.2</w:t>
            </w:r>
          </w:p>
        </w:tc>
        <w:tc>
          <w:tcPr>
            <w:tcW w:w="400" w:type="pct"/>
            <w:hideMark/>
          </w:tcPr>
          <w:p w14:paraId="57CA6DBE"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64</w:t>
            </w:r>
          </w:p>
        </w:tc>
        <w:tc>
          <w:tcPr>
            <w:tcW w:w="443" w:type="pct"/>
            <w:hideMark/>
          </w:tcPr>
          <w:p w14:paraId="0BE1083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88.9</w:t>
            </w:r>
          </w:p>
        </w:tc>
        <w:tc>
          <w:tcPr>
            <w:tcW w:w="400" w:type="pct"/>
            <w:hideMark/>
          </w:tcPr>
          <w:p w14:paraId="5303DE12"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5</w:t>
            </w:r>
          </w:p>
        </w:tc>
        <w:tc>
          <w:tcPr>
            <w:tcW w:w="244" w:type="pct"/>
            <w:hideMark/>
          </w:tcPr>
          <w:p w14:paraId="566B411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6.9</w:t>
            </w:r>
          </w:p>
        </w:tc>
        <w:tc>
          <w:tcPr>
            <w:tcW w:w="1373" w:type="pct"/>
            <w:hideMark/>
          </w:tcPr>
          <w:p w14:paraId="6BABEB8F"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br/>
              <w:t>4.2 / 3.0</w:t>
            </w:r>
          </w:p>
        </w:tc>
      </w:tr>
      <w:tr w:rsidR="00C7545E" w:rsidRPr="00C7545E" w14:paraId="6573DDFE" w14:textId="77777777" w:rsidTr="00B05EB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 w:type="pct"/>
            <w:noWrap/>
            <w:hideMark/>
          </w:tcPr>
          <w:p w14:paraId="5E01674F"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Total</w:t>
            </w:r>
          </w:p>
        </w:tc>
        <w:tc>
          <w:tcPr>
            <w:tcW w:w="465" w:type="pct"/>
            <w:noWrap/>
            <w:hideMark/>
          </w:tcPr>
          <w:p w14:paraId="76E53B1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bookmarkStart w:id="9" w:name="RANGE!B11"/>
            <w:r w:rsidRPr="00C7545E">
              <w:rPr>
                <w:rFonts w:eastAsia="Calibri" w:cs="Times New Roman"/>
                <w:color w:val="000000"/>
              </w:rPr>
              <w:t>466</w:t>
            </w:r>
            <w:bookmarkEnd w:id="9"/>
          </w:p>
        </w:tc>
        <w:tc>
          <w:tcPr>
            <w:tcW w:w="644" w:type="pct"/>
            <w:noWrap/>
            <w:hideMark/>
          </w:tcPr>
          <w:p w14:paraId="5318785C"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20</w:t>
            </w:r>
          </w:p>
        </w:tc>
        <w:tc>
          <w:tcPr>
            <w:tcW w:w="703" w:type="pct"/>
            <w:hideMark/>
          </w:tcPr>
          <w:p w14:paraId="6CCE324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4.3</w:t>
            </w:r>
          </w:p>
        </w:tc>
        <w:tc>
          <w:tcPr>
            <w:tcW w:w="400" w:type="pct"/>
            <w:noWrap/>
            <w:hideMark/>
          </w:tcPr>
          <w:p w14:paraId="3D6B5A8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427</w:t>
            </w:r>
          </w:p>
        </w:tc>
        <w:tc>
          <w:tcPr>
            <w:tcW w:w="443" w:type="pct"/>
            <w:hideMark/>
          </w:tcPr>
          <w:p w14:paraId="5A7CE8C0"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91.6</w:t>
            </w:r>
          </w:p>
        </w:tc>
        <w:tc>
          <w:tcPr>
            <w:tcW w:w="400" w:type="pct"/>
            <w:noWrap/>
            <w:hideMark/>
          </w:tcPr>
          <w:p w14:paraId="04F9E352"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19</w:t>
            </w:r>
          </w:p>
        </w:tc>
        <w:tc>
          <w:tcPr>
            <w:tcW w:w="244" w:type="pct"/>
            <w:hideMark/>
          </w:tcPr>
          <w:p w14:paraId="019284E7"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4.1</w:t>
            </w:r>
          </w:p>
        </w:tc>
        <w:tc>
          <w:tcPr>
            <w:tcW w:w="1373" w:type="pct"/>
            <w:hideMark/>
          </w:tcPr>
          <w:p w14:paraId="6D0149AA"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4.3 / 5.2</w:t>
            </w:r>
          </w:p>
        </w:tc>
      </w:tr>
    </w:tbl>
    <w:p w14:paraId="1FADD7B4" w14:textId="77777777" w:rsidR="00C7545E" w:rsidRDefault="00C7545E" w:rsidP="00C7545E">
      <w:pPr>
        <w:pStyle w:val="3Copy-text"/>
      </w:pPr>
      <w:r>
        <w:t>*including apprentices</w:t>
      </w:r>
    </w:p>
    <w:p w14:paraId="6B38D384" w14:textId="77777777" w:rsidR="00C7545E" w:rsidRDefault="00C7545E" w:rsidP="00C7545E">
      <w:pPr>
        <w:pStyle w:val="3Copy-text"/>
      </w:pPr>
      <w:r>
        <w:t>** merged to protect individuals’ privacy</w:t>
      </w:r>
    </w:p>
    <w:p w14:paraId="64B88B54" w14:textId="7E175D35" w:rsidR="00C7545E" w:rsidRDefault="00C7545E" w:rsidP="00C7545E">
      <w:pPr>
        <w:pStyle w:val="3Copy-text"/>
      </w:pPr>
      <w:r>
        <w:t>Disclosure rate: 95.9%</w:t>
      </w:r>
    </w:p>
    <w:p w14:paraId="615FB236" w14:textId="38256118" w:rsidR="00A03923" w:rsidRDefault="00A03923">
      <w:pPr>
        <w:rPr>
          <w:color w:val="414042"/>
          <w:kern w:val="24"/>
        </w:rPr>
      </w:pPr>
      <w:r>
        <w:br w:type="page"/>
      </w:r>
      <w:bookmarkStart w:id="10" w:name="_GoBack"/>
      <w:bookmarkEnd w:id="10"/>
    </w:p>
    <w:p w14:paraId="7DD251DD" w14:textId="77777777" w:rsidR="00C7545E" w:rsidRDefault="00C7545E" w:rsidP="00C7545E">
      <w:pPr>
        <w:pStyle w:val="3Copy-text"/>
      </w:pPr>
      <w:r>
        <w:lastRenderedPageBreak/>
        <w:t>Analysis:</w:t>
      </w:r>
    </w:p>
    <w:p w14:paraId="089B95C2" w14:textId="5A7E91C7" w:rsidR="00C7545E" w:rsidRDefault="00C7545E" w:rsidP="00C7545E">
      <w:pPr>
        <w:pStyle w:val="4Bulletlist"/>
      </w:pPr>
      <w:r>
        <w:t>The disclosure rate for the race/ethnicity profile is encouraging however, the number of staff who identify as BME has slightly decreased from 23 in 2016 to 20 in 2017, therefore the percentage of BME people in the total workforce has decreased from 5.2% in 2016 to 4.3 % in 2017. The 2011 Census states that 6.8% of people who are economically active and employed in the Cardiff TTWA identify as BME; we still continue to work to reverse this trend and aim for closer alignment with the TTWA figure of 6.8%;</w:t>
      </w:r>
    </w:p>
    <w:p w14:paraId="53CCDA5D" w14:textId="00EE0C55" w:rsidR="00C7545E" w:rsidRDefault="00C7545E" w:rsidP="00C7545E">
      <w:pPr>
        <w:pStyle w:val="4Bulletlist"/>
      </w:pPr>
      <w:r>
        <w:t>60% (12) of our BME staff are employed at entry level (TS grade).This has dropped from 69.6% (16) from 2016. This can be explained by the fact that four people who identified as BME (TS pay band) left the organisation during the reporting year. 15% of staff who identify as BME are employed at decision-making level at E2, E1 and Senior Level, which has increased from 9% the previous year although, caution should be exercised however as the data is sensitive to small changes in the cohort;</w:t>
      </w:r>
    </w:p>
    <w:p w14:paraId="74E20609" w14:textId="270958C0" w:rsidR="00C7545E" w:rsidRDefault="00C7545E" w:rsidP="00C7545E">
      <w:pPr>
        <w:pStyle w:val="4Bulletlist"/>
      </w:pPr>
      <w:r>
        <w:t>We can infer from the data that there is an uneven distribution of staff who identify as BME across our workforce: 85% of staff who identify as BME are in the two lowest pay bands (TS and M3). In pay bands M2 and M1, no staff identify as BME. Given the declaration rate, this is concerning and could demonstrate that staff who are identifying as BME are not progressing within the organisation. Our partial internal promotion data also shows that no staff who identified as BME were promoted during the reporting period. and</w:t>
      </w:r>
    </w:p>
    <w:p w14:paraId="2F44BA7A" w14:textId="5ADCB105" w:rsidR="00C7545E" w:rsidRDefault="00C7545E" w:rsidP="00C7545E">
      <w:pPr>
        <w:pStyle w:val="4Bulletlist"/>
      </w:pPr>
      <w:r>
        <w:t>Our BME Action Plan has been designed to address underrepresentation in the Assembly’s workforce which involves supporting our existing BME colleagues to fulfil their potential and also ensuring we take appropriate steps to attract the widest range of talent to apply for jobs with us. Our senior champion for BME colleagues and REACH, our Race Ethnicity and Cultural Heritage workplace equality network are raising the profile of the network, both internally and externally. We also intend to incorporate this work into a wider strategy to address underrepresentation in our workforce via the development of an attraction strategy which is inclusive of all the protected characteristics.</w:t>
      </w:r>
    </w:p>
    <w:p w14:paraId="7EA57F97" w14:textId="03553F81" w:rsidR="00616F86" w:rsidRDefault="00616F86">
      <w:pPr>
        <w:spacing w:before="0" w:after="160" w:line="259" w:lineRule="auto"/>
        <w:rPr>
          <w:rFonts w:eastAsia="Lucida Sans" w:cs="Times New Roman"/>
          <w:color w:val="414042"/>
          <w:kern w:val="24"/>
        </w:rPr>
      </w:pPr>
      <w:r>
        <w:br w:type="page"/>
      </w:r>
    </w:p>
    <w:p w14:paraId="3D4F9BDA" w14:textId="693E2CAA" w:rsidR="00616F86" w:rsidRDefault="00616F86" w:rsidP="00616F86">
      <w:pPr>
        <w:pStyle w:val="Caption"/>
        <w:keepNext/>
      </w:pPr>
      <w:r>
        <w:lastRenderedPageBreak/>
        <w:t xml:space="preserve">Table </w:t>
      </w:r>
      <w:fldSimple w:instr=" SEQ Table \* ARABIC ">
        <w:r w:rsidR="00332158">
          <w:rPr>
            <w:noProof/>
          </w:rPr>
          <w:t>12</w:t>
        </w:r>
      </w:fldSimple>
      <w:r>
        <w:t xml:space="preserve">: </w:t>
      </w:r>
      <w:r w:rsidRPr="00A54758">
        <w:t>External Recruitment by Race/Ethnicity</w:t>
      </w:r>
    </w:p>
    <w:tbl>
      <w:tblPr>
        <w:tblStyle w:val="GridTable4-Accent4"/>
        <w:tblW w:w="0" w:type="auto"/>
        <w:tblLook w:val="04A0" w:firstRow="1" w:lastRow="0" w:firstColumn="1" w:lastColumn="0" w:noHBand="0" w:noVBand="1"/>
      </w:tblPr>
      <w:tblGrid>
        <w:gridCol w:w="1538"/>
        <w:gridCol w:w="1012"/>
        <w:gridCol w:w="1608"/>
        <w:gridCol w:w="1012"/>
        <w:gridCol w:w="2026"/>
        <w:gridCol w:w="1012"/>
        <w:gridCol w:w="2498"/>
        <w:gridCol w:w="1298"/>
        <w:gridCol w:w="1524"/>
        <w:gridCol w:w="1145"/>
      </w:tblGrid>
      <w:tr w:rsidR="00C7545E" w:rsidRPr="00C7545E" w14:paraId="07A904D0" w14:textId="77777777" w:rsidTr="00C7545E">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tcPr>
          <w:p w14:paraId="6062E67C" w14:textId="77777777" w:rsidR="00C7545E" w:rsidRPr="00C7545E" w:rsidRDefault="00C7545E" w:rsidP="00C7545E">
            <w:pPr>
              <w:spacing w:before="0" w:after="200" w:line="264" w:lineRule="auto"/>
              <w:rPr>
                <w:rFonts w:eastAsia="Calibri" w:cs="Times New Roman"/>
                <w:color w:val="000000"/>
              </w:rPr>
            </w:pPr>
          </w:p>
        </w:tc>
        <w:tc>
          <w:tcPr>
            <w:tcW w:w="0" w:type="auto"/>
            <w:gridSpan w:val="2"/>
            <w:hideMark/>
          </w:tcPr>
          <w:p w14:paraId="4D3101D5"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Applications received</w:t>
            </w:r>
          </w:p>
        </w:tc>
        <w:tc>
          <w:tcPr>
            <w:tcW w:w="0" w:type="auto"/>
            <w:gridSpan w:val="2"/>
            <w:hideMark/>
          </w:tcPr>
          <w:p w14:paraId="6C201999"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Successful at sift</w:t>
            </w:r>
          </w:p>
        </w:tc>
        <w:tc>
          <w:tcPr>
            <w:tcW w:w="0" w:type="auto"/>
            <w:gridSpan w:val="2"/>
            <w:hideMark/>
          </w:tcPr>
          <w:p w14:paraId="2682FEE4"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Offer of employment</w:t>
            </w:r>
          </w:p>
        </w:tc>
        <w:tc>
          <w:tcPr>
            <w:tcW w:w="0" w:type="auto"/>
            <w:hideMark/>
          </w:tcPr>
          <w:p w14:paraId="0A79317F"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Overall success rate</w:t>
            </w:r>
          </w:p>
        </w:tc>
        <w:tc>
          <w:tcPr>
            <w:tcW w:w="0" w:type="auto"/>
            <w:hideMark/>
          </w:tcPr>
          <w:p w14:paraId="666C7F3F"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Overall success rate 2015-16</w:t>
            </w:r>
          </w:p>
        </w:tc>
        <w:tc>
          <w:tcPr>
            <w:tcW w:w="0" w:type="auto"/>
            <w:hideMark/>
          </w:tcPr>
          <w:p w14:paraId="6B5A70DF"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 of total job offers</w:t>
            </w:r>
          </w:p>
        </w:tc>
      </w:tr>
      <w:tr w:rsidR="00C7545E" w:rsidRPr="00C7545E" w14:paraId="02F94CD1" w14:textId="77777777" w:rsidTr="00C7545E">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0" w:type="auto"/>
          </w:tcPr>
          <w:p w14:paraId="7A2A6551" w14:textId="77777777" w:rsidR="00C7545E" w:rsidRPr="00C7545E" w:rsidRDefault="00C7545E" w:rsidP="00C7545E">
            <w:pPr>
              <w:spacing w:before="0" w:after="200" w:line="264" w:lineRule="auto"/>
              <w:rPr>
                <w:rFonts w:eastAsia="Calibri" w:cs="Times New Roman"/>
                <w:color w:val="000000"/>
              </w:rPr>
            </w:pPr>
          </w:p>
        </w:tc>
        <w:tc>
          <w:tcPr>
            <w:tcW w:w="0" w:type="auto"/>
            <w:hideMark/>
          </w:tcPr>
          <w:p w14:paraId="477DD8C0"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number</w:t>
            </w:r>
          </w:p>
        </w:tc>
        <w:tc>
          <w:tcPr>
            <w:tcW w:w="0" w:type="auto"/>
            <w:hideMark/>
          </w:tcPr>
          <w:p w14:paraId="41F10F32"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 of total application</w:t>
            </w:r>
          </w:p>
        </w:tc>
        <w:tc>
          <w:tcPr>
            <w:tcW w:w="0" w:type="auto"/>
            <w:hideMark/>
          </w:tcPr>
          <w:p w14:paraId="57E0DC0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number</w:t>
            </w:r>
          </w:p>
        </w:tc>
        <w:tc>
          <w:tcPr>
            <w:tcW w:w="0" w:type="auto"/>
            <w:hideMark/>
          </w:tcPr>
          <w:p w14:paraId="686539AD"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 of applications successful at sift</w:t>
            </w:r>
          </w:p>
        </w:tc>
        <w:tc>
          <w:tcPr>
            <w:tcW w:w="0" w:type="auto"/>
            <w:hideMark/>
          </w:tcPr>
          <w:p w14:paraId="0E6292D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number</w:t>
            </w:r>
          </w:p>
        </w:tc>
        <w:tc>
          <w:tcPr>
            <w:tcW w:w="0" w:type="auto"/>
            <w:hideMark/>
          </w:tcPr>
          <w:p w14:paraId="76A818A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 of those successful at sift offered employment</w:t>
            </w:r>
          </w:p>
        </w:tc>
        <w:tc>
          <w:tcPr>
            <w:tcW w:w="0" w:type="auto"/>
            <w:hideMark/>
          </w:tcPr>
          <w:p w14:paraId="29C66A47"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w:t>
            </w:r>
          </w:p>
        </w:tc>
        <w:tc>
          <w:tcPr>
            <w:tcW w:w="0" w:type="auto"/>
            <w:hideMark/>
          </w:tcPr>
          <w:p w14:paraId="3BE7F4D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w:t>
            </w:r>
          </w:p>
        </w:tc>
        <w:tc>
          <w:tcPr>
            <w:tcW w:w="0" w:type="auto"/>
            <w:hideMark/>
          </w:tcPr>
          <w:p w14:paraId="4CA8CE2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w:t>
            </w:r>
          </w:p>
        </w:tc>
      </w:tr>
      <w:tr w:rsidR="00C7545E" w:rsidRPr="00C7545E" w14:paraId="5B30BBEC" w14:textId="77777777" w:rsidTr="00C7545E">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3104AC91"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BME and Other Ethnicity</w:t>
            </w:r>
          </w:p>
        </w:tc>
        <w:tc>
          <w:tcPr>
            <w:tcW w:w="0" w:type="auto"/>
            <w:hideMark/>
          </w:tcPr>
          <w:p w14:paraId="1B5D0AD3"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32</w:t>
            </w:r>
          </w:p>
        </w:tc>
        <w:tc>
          <w:tcPr>
            <w:tcW w:w="0" w:type="auto"/>
            <w:hideMark/>
          </w:tcPr>
          <w:p w14:paraId="5B750A75"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4.8</w:t>
            </w:r>
          </w:p>
        </w:tc>
        <w:tc>
          <w:tcPr>
            <w:tcW w:w="0" w:type="auto"/>
            <w:hideMark/>
          </w:tcPr>
          <w:p w14:paraId="341F011F"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7</w:t>
            </w:r>
            <w:r w:rsidRPr="00C7545E">
              <w:rPr>
                <w:rFonts w:eastAsia="Calibri" w:cs="Times New Roman"/>
                <w:color w:val="000000"/>
              </w:rPr>
              <w:tab/>
            </w:r>
          </w:p>
        </w:tc>
        <w:tc>
          <w:tcPr>
            <w:tcW w:w="0" w:type="auto"/>
            <w:hideMark/>
          </w:tcPr>
          <w:p w14:paraId="247ADB34"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21.9</w:t>
            </w:r>
          </w:p>
        </w:tc>
        <w:tc>
          <w:tcPr>
            <w:tcW w:w="0" w:type="auto"/>
            <w:hideMark/>
          </w:tcPr>
          <w:p w14:paraId="183824AC"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w:t>
            </w:r>
            <w:r w:rsidRPr="00C7545E">
              <w:rPr>
                <w:rFonts w:eastAsia="Calibri" w:cs="Times New Roman"/>
                <w:color w:val="000000"/>
              </w:rPr>
              <w:tab/>
            </w:r>
          </w:p>
        </w:tc>
        <w:tc>
          <w:tcPr>
            <w:tcW w:w="0" w:type="auto"/>
            <w:hideMark/>
          </w:tcPr>
          <w:p w14:paraId="3CE3989A"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14.3</w:t>
            </w:r>
          </w:p>
        </w:tc>
        <w:tc>
          <w:tcPr>
            <w:tcW w:w="0" w:type="auto"/>
            <w:hideMark/>
          </w:tcPr>
          <w:p w14:paraId="026215AE"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3.1</w:t>
            </w:r>
          </w:p>
        </w:tc>
        <w:tc>
          <w:tcPr>
            <w:tcW w:w="0" w:type="auto"/>
            <w:hideMark/>
          </w:tcPr>
          <w:p w14:paraId="07E65D8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0" w:type="auto"/>
            <w:hideMark/>
          </w:tcPr>
          <w:p w14:paraId="2B9DAE34"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1.6</w:t>
            </w:r>
          </w:p>
        </w:tc>
      </w:tr>
      <w:tr w:rsidR="00C7545E" w:rsidRPr="00C7545E" w14:paraId="77C526B4" w14:textId="77777777" w:rsidTr="00C7545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77A642C8"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Non-BME</w:t>
            </w:r>
          </w:p>
        </w:tc>
        <w:tc>
          <w:tcPr>
            <w:tcW w:w="0" w:type="auto"/>
            <w:hideMark/>
          </w:tcPr>
          <w:p w14:paraId="405CE65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631</w:t>
            </w:r>
          </w:p>
        </w:tc>
        <w:tc>
          <w:tcPr>
            <w:tcW w:w="0" w:type="auto"/>
            <w:hideMark/>
          </w:tcPr>
          <w:p w14:paraId="46FDA931"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93.8</w:t>
            </w:r>
          </w:p>
        </w:tc>
        <w:tc>
          <w:tcPr>
            <w:tcW w:w="0" w:type="auto"/>
            <w:hideMark/>
          </w:tcPr>
          <w:p w14:paraId="0C5093D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256</w:t>
            </w:r>
          </w:p>
        </w:tc>
        <w:tc>
          <w:tcPr>
            <w:tcW w:w="0" w:type="auto"/>
            <w:hideMark/>
          </w:tcPr>
          <w:p w14:paraId="0A45880A"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40.6</w:t>
            </w:r>
          </w:p>
        </w:tc>
        <w:tc>
          <w:tcPr>
            <w:tcW w:w="0" w:type="auto"/>
            <w:hideMark/>
          </w:tcPr>
          <w:p w14:paraId="288099B0"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60</w:t>
            </w:r>
          </w:p>
        </w:tc>
        <w:tc>
          <w:tcPr>
            <w:tcW w:w="0" w:type="auto"/>
            <w:hideMark/>
          </w:tcPr>
          <w:p w14:paraId="6894B54C"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23.4</w:t>
            </w:r>
          </w:p>
        </w:tc>
        <w:tc>
          <w:tcPr>
            <w:tcW w:w="0" w:type="auto"/>
            <w:hideMark/>
          </w:tcPr>
          <w:p w14:paraId="2BFC25F0"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9.5</w:t>
            </w:r>
          </w:p>
        </w:tc>
        <w:tc>
          <w:tcPr>
            <w:tcW w:w="0" w:type="auto"/>
            <w:hideMark/>
          </w:tcPr>
          <w:p w14:paraId="03482F4C"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4.8</w:t>
            </w:r>
          </w:p>
        </w:tc>
        <w:tc>
          <w:tcPr>
            <w:tcW w:w="0" w:type="auto"/>
            <w:hideMark/>
          </w:tcPr>
          <w:p w14:paraId="034B388D"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98.4</w:t>
            </w:r>
          </w:p>
        </w:tc>
      </w:tr>
      <w:tr w:rsidR="00C7545E" w:rsidRPr="00C7545E" w14:paraId="2B94B6B5" w14:textId="77777777" w:rsidTr="00C7545E">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616AC20B"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Prefer not to say</w:t>
            </w:r>
          </w:p>
        </w:tc>
        <w:tc>
          <w:tcPr>
            <w:tcW w:w="0" w:type="auto"/>
            <w:hideMark/>
          </w:tcPr>
          <w:p w14:paraId="57A2FF87"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w:t>
            </w:r>
          </w:p>
        </w:tc>
        <w:tc>
          <w:tcPr>
            <w:tcW w:w="0" w:type="auto"/>
            <w:hideMark/>
          </w:tcPr>
          <w:p w14:paraId="2331CE9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0" w:type="auto"/>
            <w:hideMark/>
          </w:tcPr>
          <w:p w14:paraId="48CF239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w:t>
            </w:r>
          </w:p>
        </w:tc>
        <w:tc>
          <w:tcPr>
            <w:tcW w:w="0" w:type="auto"/>
            <w:hideMark/>
          </w:tcPr>
          <w:p w14:paraId="4D951C31"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0" w:type="auto"/>
            <w:hideMark/>
          </w:tcPr>
          <w:p w14:paraId="6C675073"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w:t>
            </w:r>
          </w:p>
        </w:tc>
        <w:tc>
          <w:tcPr>
            <w:tcW w:w="0" w:type="auto"/>
            <w:hideMark/>
          </w:tcPr>
          <w:p w14:paraId="52864503"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0" w:type="auto"/>
            <w:hideMark/>
          </w:tcPr>
          <w:p w14:paraId="04125A09"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0" w:type="auto"/>
            <w:hideMark/>
          </w:tcPr>
          <w:p w14:paraId="4F14CBDB"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0" w:type="auto"/>
            <w:hideMark/>
          </w:tcPr>
          <w:p w14:paraId="6BDD806D"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r>
      <w:tr w:rsidR="00C7545E" w:rsidRPr="00C7545E" w14:paraId="132CAA4C" w14:textId="77777777" w:rsidTr="00C7545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033200D2"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No reply</w:t>
            </w:r>
          </w:p>
        </w:tc>
        <w:tc>
          <w:tcPr>
            <w:tcW w:w="0" w:type="auto"/>
            <w:hideMark/>
          </w:tcPr>
          <w:p w14:paraId="30561B3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10</w:t>
            </w:r>
          </w:p>
        </w:tc>
        <w:tc>
          <w:tcPr>
            <w:tcW w:w="0" w:type="auto"/>
            <w:hideMark/>
          </w:tcPr>
          <w:p w14:paraId="725E8C7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1.5</w:t>
            </w:r>
          </w:p>
        </w:tc>
        <w:tc>
          <w:tcPr>
            <w:tcW w:w="0" w:type="auto"/>
            <w:hideMark/>
          </w:tcPr>
          <w:p w14:paraId="303F4AE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w:t>
            </w:r>
          </w:p>
        </w:tc>
        <w:tc>
          <w:tcPr>
            <w:tcW w:w="0" w:type="auto"/>
            <w:hideMark/>
          </w:tcPr>
          <w:p w14:paraId="072A71F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20.0</w:t>
            </w:r>
          </w:p>
        </w:tc>
        <w:tc>
          <w:tcPr>
            <w:tcW w:w="0" w:type="auto"/>
            <w:hideMark/>
          </w:tcPr>
          <w:p w14:paraId="0263D57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0</w:t>
            </w:r>
          </w:p>
        </w:tc>
        <w:tc>
          <w:tcPr>
            <w:tcW w:w="0" w:type="auto"/>
            <w:hideMark/>
          </w:tcPr>
          <w:p w14:paraId="4B013F46"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0" w:type="auto"/>
            <w:hideMark/>
          </w:tcPr>
          <w:p w14:paraId="09E542B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0" w:type="auto"/>
            <w:hideMark/>
          </w:tcPr>
          <w:p w14:paraId="3B3E2321"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12.5</w:t>
            </w:r>
          </w:p>
        </w:tc>
        <w:tc>
          <w:tcPr>
            <w:tcW w:w="0" w:type="auto"/>
            <w:hideMark/>
          </w:tcPr>
          <w:p w14:paraId="59D673F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r>
      <w:tr w:rsidR="00C7545E" w:rsidRPr="00C7545E" w14:paraId="09ACCA6A" w14:textId="77777777" w:rsidTr="00C7545E">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338DE2FA"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Total</w:t>
            </w:r>
          </w:p>
        </w:tc>
        <w:tc>
          <w:tcPr>
            <w:tcW w:w="0" w:type="auto"/>
            <w:hideMark/>
          </w:tcPr>
          <w:p w14:paraId="65496197"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673</w:t>
            </w:r>
          </w:p>
        </w:tc>
        <w:tc>
          <w:tcPr>
            <w:tcW w:w="0" w:type="auto"/>
            <w:hideMark/>
          </w:tcPr>
          <w:p w14:paraId="4B31D6B7"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100.0</w:t>
            </w:r>
          </w:p>
        </w:tc>
        <w:tc>
          <w:tcPr>
            <w:tcW w:w="0" w:type="auto"/>
            <w:hideMark/>
          </w:tcPr>
          <w:p w14:paraId="520703CB"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265</w:t>
            </w:r>
          </w:p>
        </w:tc>
        <w:tc>
          <w:tcPr>
            <w:tcW w:w="0" w:type="auto"/>
            <w:hideMark/>
          </w:tcPr>
          <w:p w14:paraId="7229705D"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39.4</w:t>
            </w:r>
          </w:p>
        </w:tc>
        <w:tc>
          <w:tcPr>
            <w:tcW w:w="0" w:type="auto"/>
            <w:hideMark/>
          </w:tcPr>
          <w:p w14:paraId="3AC8960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61</w:t>
            </w:r>
          </w:p>
        </w:tc>
        <w:tc>
          <w:tcPr>
            <w:tcW w:w="0" w:type="auto"/>
            <w:hideMark/>
          </w:tcPr>
          <w:p w14:paraId="3C302FEF"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23.0</w:t>
            </w:r>
          </w:p>
        </w:tc>
        <w:tc>
          <w:tcPr>
            <w:tcW w:w="0" w:type="auto"/>
            <w:hideMark/>
          </w:tcPr>
          <w:p w14:paraId="1FABAFCE"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9.1</w:t>
            </w:r>
          </w:p>
        </w:tc>
        <w:tc>
          <w:tcPr>
            <w:tcW w:w="0" w:type="auto"/>
            <w:hideMark/>
          </w:tcPr>
          <w:p w14:paraId="18842C5C"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4.8</w:t>
            </w:r>
          </w:p>
        </w:tc>
        <w:tc>
          <w:tcPr>
            <w:tcW w:w="0" w:type="auto"/>
          </w:tcPr>
          <w:p w14:paraId="21A67394"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r>
    </w:tbl>
    <w:p w14:paraId="3E6209DE" w14:textId="77777777" w:rsidR="00C7545E" w:rsidRDefault="00C7545E" w:rsidP="00C7545E">
      <w:pPr>
        <w:pStyle w:val="3Copy-text"/>
      </w:pPr>
      <w:r>
        <w:t>Analysis:</w:t>
      </w:r>
    </w:p>
    <w:p w14:paraId="52215DA4" w14:textId="72983DF2" w:rsidR="00C7545E" w:rsidRDefault="00C7545E" w:rsidP="00C7545E">
      <w:pPr>
        <w:pStyle w:val="4Bulletlist"/>
      </w:pPr>
      <w:r>
        <w:t>The 2011 Census states that 6.8% of people who are economically active and employed in the Cardiff TTWA identify as BME. The percentage of total applications from people who identify as BME has dropped from 8.5% of total applications in 2015-2016 to 4.8% in 2016-2017. As such, the percentage of total applications is lower than the BME populations in the Cardiff TTWA;</w:t>
      </w:r>
    </w:p>
    <w:p w14:paraId="65124E2B" w14:textId="2A2A917B" w:rsidR="00C7545E" w:rsidRDefault="00C7545E" w:rsidP="00C7545E">
      <w:pPr>
        <w:pStyle w:val="4Bulletlist"/>
      </w:pPr>
      <w:r>
        <w:t>No replies dropped from 5.5% of total applications in 2015-2016 to 1.5% in 2016-2017;</w:t>
      </w:r>
    </w:p>
    <w:p w14:paraId="0A4DAF8D" w14:textId="4D5FB8A0" w:rsidR="00C7545E" w:rsidRDefault="00C7545E" w:rsidP="00C7545E">
      <w:pPr>
        <w:pStyle w:val="4Bulletlist"/>
      </w:pPr>
      <w:r>
        <w:t xml:space="preserve">1.6% of job offers were made to people who identified as BME; </w:t>
      </w:r>
    </w:p>
    <w:p w14:paraId="61546539" w14:textId="216859F7" w:rsidR="00C7545E" w:rsidRDefault="00C7545E" w:rsidP="00C7545E">
      <w:pPr>
        <w:pStyle w:val="4Bulletlist"/>
      </w:pPr>
      <w:r>
        <w:lastRenderedPageBreak/>
        <w:t xml:space="preserve">The successful at sift, offer of employment and overall success rates are all significantly lower for people who identify as BME. We would like to see this equalised; and </w:t>
      </w:r>
    </w:p>
    <w:p w14:paraId="471FFD9B" w14:textId="2F62C92B" w:rsidR="00C7545E" w:rsidRDefault="00C7545E" w:rsidP="00C7545E">
      <w:pPr>
        <w:pStyle w:val="4Bulletlist"/>
      </w:pPr>
      <w:r>
        <w:t>We are taking steps to address under-representation within our workforce, including identifying and removing barriers to inclusion. We are encouraging applications from the widest pool of talent and undertake outreach work to promote the Assembly as an inclusive employer. We deliver unconscious bias training for all recruitment panels and will be undertaking an equality impact assessment of our recruitment policy and practices. This commitment is part of our new Diversity and Inclusion strategy for 2016-2021.</w:t>
      </w:r>
    </w:p>
    <w:p w14:paraId="7BCC4F08" w14:textId="77777777" w:rsidR="00C7545E" w:rsidRDefault="00C7545E">
      <w:pPr>
        <w:spacing w:before="0" w:after="160" w:line="259" w:lineRule="auto"/>
        <w:rPr>
          <w:rFonts w:eastAsia="Lucida Sans" w:cs="Times New Roman"/>
          <w:color w:val="414042"/>
          <w:kern w:val="24"/>
        </w:rPr>
      </w:pPr>
      <w:r>
        <w:br w:type="page"/>
      </w:r>
    </w:p>
    <w:p w14:paraId="176C4369" w14:textId="5862B937" w:rsidR="00C7545E" w:rsidRDefault="00C7545E" w:rsidP="00C7545E">
      <w:pPr>
        <w:pStyle w:val="2Sub-headings"/>
      </w:pPr>
      <w:r w:rsidRPr="00C7545E">
        <w:lastRenderedPageBreak/>
        <w:t>Religion/Belief</w:t>
      </w:r>
    </w:p>
    <w:p w14:paraId="229ABB08" w14:textId="313619C7" w:rsidR="00616F86" w:rsidRDefault="00616F86" w:rsidP="00616F86">
      <w:pPr>
        <w:pStyle w:val="Caption"/>
        <w:keepNext/>
      </w:pPr>
      <w:r>
        <w:t xml:space="preserve">Table </w:t>
      </w:r>
      <w:fldSimple w:instr=" SEQ Table \* ARABIC ">
        <w:r w:rsidR="00332158">
          <w:rPr>
            <w:noProof/>
          </w:rPr>
          <w:t>13</w:t>
        </w:r>
      </w:fldSimple>
      <w:r>
        <w:t xml:space="preserve">: </w:t>
      </w:r>
      <w:r w:rsidRPr="00241C75">
        <w:t>Workforce Religion / belief profile</w:t>
      </w:r>
    </w:p>
    <w:tbl>
      <w:tblPr>
        <w:tblStyle w:val="GridTable4-Accent4"/>
        <w:tblW w:w="5000" w:type="pct"/>
        <w:tblLook w:val="04A0" w:firstRow="1" w:lastRow="0" w:firstColumn="1" w:lastColumn="0" w:noHBand="0" w:noVBand="1"/>
      </w:tblPr>
      <w:tblGrid>
        <w:gridCol w:w="1438"/>
        <w:gridCol w:w="1491"/>
        <w:gridCol w:w="1491"/>
        <w:gridCol w:w="1348"/>
        <w:gridCol w:w="1490"/>
        <w:gridCol w:w="1440"/>
        <w:gridCol w:w="1490"/>
        <w:gridCol w:w="1443"/>
        <w:gridCol w:w="1490"/>
        <w:gridCol w:w="1443"/>
        <w:gridCol w:w="222"/>
      </w:tblGrid>
      <w:tr w:rsidR="00C7545E" w:rsidRPr="00C7545E" w14:paraId="0489D9BB" w14:textId="77777777" w:rsidTr="00C7545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86" w:type="pct"/>
            <w:hideMark/>
          </w:tcPr>
          <w:p w14:paraId="482D37DD" w14:textId="77777777" w:rsidR="00C7545E" w:rsidRPr="00C7545E" w:rsidRDefault="00C7545E" w:rsidP="00C7545E">
            <w:pPr>
              <w:spacing w:before="0" w:after="200" w:line="264" w:lineRule="auto"/>
              <w:rPr>
                <w:rFonts w:eastAsia="Calibri" w:cs="Times New Roman"/>
              </w:rPr>
            </w:pPr>
            <w:r w:rsidRPr="00C7545E">
              <w:rPr>
                <w:rFonts w:eastAsia="Calibri" w:cs="Times New Roman"/>
              </w:rPr>
              <w:t>Grade</w:t>
            </w:r>
          </w:p>
        </w:tc>
        <w:tc>
          <w:tcPr>
            <w:tcW w:w="504" w:type="pct"/>
            <w:hideMark/>
          </w:tcPr>
          <w:p w14:paraId="09C4FCA5"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Total staff</w:t>
            </w:r>
          </w:p>
        </w:tc>
        <w:tc>
          <w:tcPr>
            <w:tcW w:w="960" w:type="pct"/>
            <w:gridSpan w:val="2"/>
            <w:hideMark/>
          </w:tcPr>
          <w:p w14:paraId="651CF3DF"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None</w:t>
            </w:r>
          </w:p>
        </w:tc>
        <w:tc>
          <w:tcPr>
            <w:tcW w:w="991" w:type="pct"/>
            <w:gridSpan w:val="2"/>
            <w:hideMark/>
          </w:tcPr>
          <w:p w14:paraId="22C4991D"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Christian*</w:t>
            </w:r>
          </w:p>
        </w:tc>
        <w:tc>
          <w:tcPr>
            <w:tcW w:w="992" w:type="pct"/>
            <w:gridSpan w:val="2"/>
            <w:hideMark/>
          </w:tcPr>
          <w:p w14:paraId="6B32C4F9"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Other**</w:t>
            </w:r>
          </w:p>
        </w:tc>
        <w:tc>
          <w:tcPr>
            <w:tcW w:w="992" w:type="pct"/>
            <w:gridSpan w:val="2"/>
            <w:hideMark/>
          </w:tcPr>
          <w:p w14:paraId="15BB83B0"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No Reply/Prefer not to Say</w:t>
            </w:r>
          </w:p>
        </w:tc>
        <w:tc>
          <w:tcPr>
            <w:tcW w:w="76" w:type="pct"/>
            <w:hideMark/>
          </w:tcPr>
          <w:p w14:paraId="55B7BAE5"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000000"/>
              </w:rPr>
            </w:pPr>
          </w:p>
        </w:tc>
      </w:tr>
      <w:tr w:rsidR="00C7545E" w:rsidRPr="00C7545E" w14:paraId="3B3BFEC5" w14:textId="77777777" w:rsidTr="00C7545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86" w:type="pct"/>
            <w:vMerge w:val="restart"/>
            <w:hideMark/>
          </w:tcPr>
          <w:p w14:paraId="37729C0C"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 </w:t>
            </w:r>
          </w:p>
        </w:tc>
        <w:tc>
          <w:tcPr>
            <w:tcW w:w="504" w:type="pct"/>
            <w:vMerge w:val="restart"/>
            <w:hideMark/>
          </w:tcPr>
          <w:p w14:paraId="42D94C47"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number</w:t>
            </w:r>
          </w:p>
        </w:tc>
        <w:tc>
          <w:tcPr>
            <w:tcW w:w="504" w:type="pct"/>
            <w:vMerge w:val="restart"/>
            <w:hideMark/>
          </w:tcPr>
          <w:p w14:paraId="25502A6B"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number</w:t>
            </w:r>
          </w:p>
        </w:tc>
        <w:tc>
          <w:tcPr>
            <w:tcW w:w="456" w:type="pct"/>
            <w:vMerge w:val="restart"/>
            <w:hideMark/>
          </w:tcPr>
          <w:p w14:paraId="0F78108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w:t>
            </w:r>
          </w:p>
        </w:tc>
        <w:tc>
          <w:tcPr>
            <w:tcW w:w="504" w:type="pct"/>
            <w:vMerge w:val="restart"/>
            <w:hideMark/>
          </w:tcPr>
          <w:p w14:paraId="0C1FEE9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number</w:t>
            </w:r>
          </w:p>
        </w:tc>
        <w:tc>
          <w:tcPr>
            <w:tcW w:w="487" w:type="pct"/>
            <w:vMerge w:val="restart"/>
            <w:hideMark/>
          </w:tcPr>
          <w:p w14:paraId="4010792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w:t>
            </w:r>
          </w:p>
        </w:tc>
        <w:tc>
          <w:tcPr>
            <w:tcW w:w="504" w:type="pct"/>
            <w:vMerge w:val="restart"/>
            <w:hideMark/>
          </w:tcPr>
          <w:p w14:paraId="5305DC9C"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number</w:t>
            </w:r>
          </w:p>
        </w:tc>
        <w:tc>
          <w:tcPr>
            <w:tcW w:w="488" w:type="pct"/>
            <w:vMerge w:val="restart"/>
            <w:hideMark/>
          </w:tcPr>
          <w:p w14:paraId="22ED3307"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w:t>
            </w:r>
          </w:p>
        </w:tc>
        <w:tc>
          <w:tcPr>
            <w:tcW w:w="504" w:type="pct"/>
            <w:vMerge w:val="restart"/>
            <w:hideMark/>
          </w:tcPr>
          <w:p w14:paraId="00CB4BAB"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number</w:t>
            </w:r>
          </w:p>
        </w:tc>
        <w:tc>
          <w:tcPr>
            <w:tcW w:w="488" w:type="pct"/>
            <w:vMerge w:val="restart"/>
            <w:hideMark/>
          </w:tcPr>
          <w:p w14:paraId="1222947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w:t>
            </w:r>
          </w:p>
        </w:tc>
        <w:tc>
          <w:tcPr>
            <w:tcW w:w="76" w:type="pct"/>
            <w:hideMark/>
          </w:tcPr>
          <w:p w14:paraId="53A6A60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r>
      <w:tr w:rsidR="00C7545E" w:rsidRPr="00C7545E" w14:paraId="650E9CBB" w14:textId="77777777" w:rsidTr="00C7545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7A9B1C6" w14:textId="77777777" w:rsidR="00C7545E" w:rsidRPr="00C7545E" w:rsidRDefault="00C7545E" w:rsidP="00C7545E">
            <w:pPr>
              <w:spacing w:before="0" w:after="0" w:line="256" w:lineRule="auto"/>
              <w:rPr>
                <w:rFonts w:eastAsia="Calibri" w:cs="Times New Roman"/>
                <w:color w:val="000000"/>
              </w:rPr>
            </w:pPr>
          </w:p>
        </w:tc>
        <w:tc>
          <w:tcPr>
            <w:tcW w:w="0" w:type="auto"/>
            <w:vMerge/>
            <w:hideMark/>
          </w:tcPr>
          <w:p w14:paraId="1415A31E" w14:textId="77777777" w:rsidR="00C7545E" w:rsidRPr="00C7545E" w:rsidRDefault="00C7545E" w:rsidP="00C7545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0" w:type="auto"/>
            <w:vMerge/>
            <w:hideMark/>
          </w:tcPr>
          <w:p w14:paraId="1D1F737E" w14:textId="77777777" w:rsidR="00C7545E" w:rsidRPr="00C7545E" w:rsidRDefault="00C7545E" w:rsidP="00C7545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0" w:type="auto"/>
            <w:vMerge/>
            <w:hideMark/>
          </w:tcPr>
          <w:p w14:paraId="5A9E6816" w14:textId="77777777" w:rsidR="00C7545E" w:rsidRPr="00C7545E" w:rsidRDefault="00C7545E" w:rsidP="00C7545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0" w:type="auto"/>
            <w:vMerge/>
            <w:hideMark/>
          </w:tcPr>
          <w:p w14:paraId="0A0C007E" w14:textId="77777777" w:rsidR="00C7545E" w:rsidRPr="00C7545E" w:rsidRDefault="00C7545E" w:rsidP="00C7545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0" w:type="auto"/>
            <w:vMerge/>
            <w:hideMark/>
          </w:tcPr>
          <w:p w14:paraId="097B95DA" w14:textId="77777777" w:rsidR="00C7545E" w:rsidRPr="00C7545E" w:rsidRDefault="00C7545E" w:rsidP="00C7545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0" w:type="auto"/>
            <w:vMerge/>
            <w:hideMark/>
          </w:tcPr>
          <w:p w14:paraId="653088E3" w14:textId="77777777" w:rsidR="00C7545E" w:rsidRPr="00C7545E" w:rsidRDefault="00C7545E" w:rsidP="00C7545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0" w:type="auto"/>
            <w:vMerge/>
            <w:hideMark/>
          </w:tcPr>
          <w:p w14:paraId="12004B41" w14:textId="77777777" w:rsidR="00C7545E" w:rsidRPr="00C7545E" w:rsidRDefault="00C7545E" w:rsidP="00C7545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0" w:type="auto"/>
            <w:vMerge/>
            <w:hideMark/>
          </w:tcPr>
          <w:p w14:paraId="3053A779" w14:textId="77777777" w:rsidR="00C7545E" w:rsidRPr="00C7545E" w:rsidRDefault="00C7545E" w:rsidP="00C7545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0" w:type="auto"/>
            <w:vMerge/>
            <w:hideMark/>
          </w:tcPr>
          <w:p w14:paraId="144CA2E7" w14:textId="77777777" w:rsidR="00C7545E" w:rsidRPr="00C7545E" w:rsidRDefault="00C7545E" w:rsidP="00C7545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c>
          <w:tcPr>
            <w:tcW w:w="76" w:type="pct"/>
            <w:hideMark/>
          </w:tcPr>
          <w:p w14:paraId="5B123881" w14:textId="77777777" w:rsidR="00C7545E" w:rsidRPr="00C7545E" w:rsidRDefault="00C7545E" w:rsidP="00C7545E">
            <w:pPr>
              <w:spacing w:before="0" w:after="0" w:line="256"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lang w:eastAsia="en-GB"/>
              </w:rPr>
            </w:pPr>
          </w:p>
        </w:tc>
      </w:tr>
      <w:tr w:rsidR="00C7545E" w:rsidRPr="00C7545E" w14:paraId="48A93538" w14:textId="77777777" w:rsidTr="00C754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 w:type="pct"/>
            <w:hideMark/>
          </w:tcPr>
          <w:p w14:paraId="7C9F930A"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TS*</w:t>
            </w:r>
          </w:p>
        </w:tc>
        <w:tc>
          <w:tcPr>
            <w:tcW w:w="504" w:type="pct"/>
            <w:hideMark/>
          </w:tcPr>
          <w:p w14:paraId="10D8D00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130</w:t>
            </w:r>
          </w:p>
        </w:tc>
        <w:tc>
          <w:tcPr>
            <w:tcW w:w="504" w:type="pct"/>
            <w:hideMark/>
          </w:tcPr>
          <w:p w14:paraId="68B298CD"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62</w:t>
            </w:r>
          </w:p>
        </w:tc>
        <w:tc>
          <w:tcPr>
            <w:tcW w:w="456" w:type="pct"/>
            <w:hideMark/>
          </w:tcPr>
          <w:p w14:paraId="269CEA02"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47.7%</w:t>
            </w:r>
          </w:p>
        </w:tc>
        <w:tc>
          <w:tcPr>
            <w:tcW w:w="504" w:type="pct"/>
            <w:hideMark/>
          </w:tcPr>
          <w:p w14:paraId="6CCA1A07"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35</w:t>
            </w:r>
          </w:p>
        </w:tc>
        <w:tc>
          <w:tcPr>
            <w:tcW w:w="487" w:type="pct"/>
            <w:hideMark/>
          </w:tcPr>
          <w:p w14:paraId="20556D70"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26.9%</w:t>
            </w:r>
          </w:p>
        </w:tc>
        <w:tc>
          <w:tcPr>
            <w:tcW w:w="504" w:type="pct"/>
            <w:hideMark/>
          </w:tcPr>
          <w:p w14:paraId="085434F0"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9</w:t>
            </w:r>
          </w:p>
        </w:tc>
        <w:tc>
          <w:tcPr>
            <w:tcW w:w="488" w:type="pct"/>
            <w:hideMark/>
          </w:tcPr>
          <w:p w14:paraId="217F871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6.9%</w:t>
            </w:r>
          </w:p>
        </w:tc>
        <w:tc>
          <w:tcPr>
            <w:tcW w:w="504" w:type="pct"/>
            <w:hideMark/>
          </w:tcPr>
          <w:p w14:paraId="346E8E7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24</w:t>
            </w:r>
          </w:p>
        </w:tc>
        <w:tc>
          <w:tcPr>
            <w:tcW w:w="488" w:type="pct"/>
            <w:hideMark/>
          </w:tcPr>
          <w:p w14:paraId="105D4B66"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18.5%</w:t>
            </w:r>
          </w:p>
        </w:tc>
        <w:tc>
          <w:tcPr>
            <w:tcW w:w="76" w:type="pct"/>
            <w:hideMark/>
          </w:tcPr>
          <w:p w14:paraId="66223070"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r>
      <w:tr w:rsidR="00C7545E" w:rsidRPr="00C7545E" w14:paraId="4C9DAD1C" w14:textId="77777777" w:rsidTr="00C7545E">
        <w:trPr>
          <w:trHeight w:val="300"/>
        </w:trPr>
        <w:tc>
          <w:tcPr>
            <w:cnfStyle w:val="001000000000" w:firstRow="0" w:lastRow="0" w:firstColumn="1" w:lastColumn="0" w:oddVBand="0" w:evenVBand="0" w:oddHBand="0" w:evenHBand="0" w:firstRowFirstColumn="0" w:firstRowLastColumn="0" w:lastRowFirstColumn="0" w:lastRowLastColumn="0"/>
            <w:tcW w:w="486" w:type="pct"/>
            <w:hideMark/>
          </w:tcPr>
          <w:p w14:paraId="1E6B7AD7"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M3</w:t>
            </w:r>
          </w:p>
        </w:tc>
        <w:tc>
          <w:tcPr>
            <w:tcW w:w="504" w:type="pct"/>
            <w:hideMark/>
          </w:tcPr>
          <w:p w14:paraId="1C54474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66</w:t>
            </w:r>
          </w:p>
        </w:tc>
        <w:tc>
          <w:tcPr>
            <w:tcW w:w="504" w:type="pct"/>
            <w:hideMark/>
          </w:tcPr>
          <w:p w14:paraId="683E1E1E"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26</w:t>
            </w:r>
          </w:p>
        </w:tc>
        <w:tc>
          <w:tcPr>
            <w:tcW w:w="456" w:type="pct"/>
            <w:hideMark/>
          </w:tcPr>
          <w:p w14:paraId="321643C2"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39.4%</w:t>
            </w:r>
          </w:p>
        </w:tc>
        <w:tc>
          <w:tcPr>
            <w:tcW w:w="504" w:type="pct"/>
            <w:hideMark/>
          </w:tcPr>
          <w:p w14:paraId="1B3241AB"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16</w:t>
            </w:r>
          </w:p>
        </w:tc>
        <w:tc>
          <w:tcPr>
            <w:tcW w:w="487" w:type="pct"/>
            <w:hideMark/>
          </w:tcPr>
          <w:p w14:paraId="720E0EF1"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24.2%</w:t>
            </w:r>
          </w:p>
        </w:tc>
        <w:tc>
          <w:tcPr>
            <w:tcW w:w="504" w:type="pct"/>
            <w:hideMark/>
          </w:tcPr>
          <w:p w14:paraId="20601AE1"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w:t>
            </w:r>
          </w:p>
        </w:tc>
        <w:tc>
          <w:tcPr>
            <w:tcW w:w="488" w:type="pct"/>
            <w:hideMark/>
          </w:tcPr>
          <w:p w14:paraId="21F3EFCC"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6.1%</w:t>
            </w:r>
          </w:p>
        </w:tc>
        <w:tc>
          <w:tcPr>
            <w:tcW w:w="504" w:type="pct"/>
            <w:hideMark/>
          </w:tcPr>
          <w:p w14:paraId="26433895"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20</w:t>
            </w:r>
          </w:p>
        </w:tc>
        <w:tc>
          <w:tcPr>
            <w:tcW w:w="488" w:type="pct"/>
            <w:hideMark/>
          </w:tcPr>
          <w:p w14:paraId="7BDE6CF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30.3%</w:t>
            </w:r>
          </w:p>
        </w:tc>
        <w:tc>
          <w:tcPr>
            <w:tcW w:w="76" w:type="pct"/>
            <w:hideMark/>
          </w:tcPr>
          <w:p w14:paraId="1F0637F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r>
      <w:tr w:rsidR="00C7545E" w:rsidRPr="00C7545E" w14:paraId="68A6CE70" w14:textId="77777777" w:rsidTr="00C754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 w:type="pct"/>
            <w:hideMark/>
          </w:tcPr>
          <w:p w14:paraId="5806F5B8"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M2</w:t>
            </w:r>
          </w:p>
        </w:tc>
        <w:tc>
          <w:tcPr>
            <w:tcW w:w="504" w:type="pct"/>
            <w:hideMark/>
          </w:tcPr>
          <w:p w14:paraId="1E0D78ED"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125</w:t>
            </w:r>
          </w:p>
        </w:tc>
        <w:tc>
          <w:tcPr>
            <w:tcW w:w="504" w:type="pct"/>
            <w:hideMark/>
          </w:tcPr>
          <w:p w14:paraId="05E4D0DA"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43</w:t>
            </w:r>
          </w:p>
        </w:tc>
        <w:tc>
          <w:tcPr>
            <w:tcW w:w="456" w:type="pct"/>
            <w:hideMark/>
          </w:tcPr>
          <w:p w14:paraId="362CE9E0"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34.4%</w:t>
            </w:r>
          </w:p>
        </w:tc>
        <w:tc>
          <w:tcPr>
            <w:tcW w:w="504" w:type="pct"/>
            <w:hideMark/>
          </w:tcPr>
          <w:p w14:paraId="7415166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48</w:t>
            </w:r>
          </w:p>
        </w:tc>
        <w:tc>
          <w:tcPr>
            <w:tcW w:w="487" w:type="pct"/>
            <w:hideMark/>
          </w:tcPr>
          <w:p w14:paraId="680A74EB"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38.4%</w:t>
            </w:r>
          </w:p>
        </w:tc>
        <w:tc>
          <w:tcPr>
            <w:tcW w:w="504" w:type="pct"/>
            <w:hideMark/>
          </w:tcPr>
          <w:p w14:paraId="7434380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11</w:t>
            </w:r>
          </w:p>
        </w:tc>
        <w:tc>
          <w:tcPr>
            <w:tcW w:w="488" w:type="pct"/>
            <w:hideMark/>
          </w:tcPr>
          <w:p w14:paraId="12576561"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8.8%</w:t>
            </w:r>
          </w:p>
        </w:tc>
        <w:tc>
          <w:tcPr>
            <w:tcW w:w="504" w:type="pct"/>
            <w:hideMark/>
          </w:tcPr>
          <w:p w14:paraId="3DD8EA1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23</w:t>
            </w:r>
          </w:p>
        </w:tc>
        <w:tc>
          <w:tcPr>
            <w:tcW w:w="488" w:type="pct"/>
            <w:hideMark/>
          </w:tcPr>
          <w:p w14:paraId="459A5D5C"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18.4%</w:t>
            </w:r>
          </w:p>
        </w:tc>
        <w:tc>
          <w:tcPr>
            <w:tcW w:w="76" w:type="pct"/>
            <w:hideMark/>
          </w:tcPr>
          <w:p w14:paraId="4DFC71C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r>
      <w:tr w:rsidR="00C7545E" w:rsidRPr="00C7545E" w14:paraId="230F70AD" w14:textId="77777777" w:rsidTr="00C7545E">
        <w:trPr>
          <w:trHeight w:val="300"/>
        </w:trPr>
        <w:tc>
          <w:tcPr>
            <w:cnfStyle w:val="001000000000" w:firstRow="0" w:lastRow="0" w:firstColumn="1" w:lastColumn="0" w:oddVBand="0" w:evenVBand="0" w:oddHBand="0" w:evenHBand="0" w:firstRowFirstColumn="0" w:firstRowLastColumn="0" w:lastRowFirstColumn="0" w:lastRowLastColumn="0"/>
            <w:tcW w:w="486" w:type="pct"/>
            <w:hideMark/>
          </w:tcPr>
          <w:p w14:paraId="624AA063"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M1</w:t>
            </w:r>
          </w:p>
        </w:tc>
        <w:tc>
          <w:tcPr>
            <w:tcW w:w="504" w:type="pct"/>
            <w:hideMark/>
          </w:tcPr>
          <w:p w14:paraId="63F7DFE9"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72</w:t>
            </w:r>
          </w:p>
        </w:tc>
        <w:tc>
          <w:tcPr>
            <w:tcW w:w="504" w:type="pct"/>
            <w:hideMark/>
          </w:tcPr>
          <w:p w14:paraId="3755E7B4"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22</w:t>
            </w:r>
          </w:p>
        </w:tc>
        <w:tc>
          <w:tcPr>
            <w:tcW w:w="456" w:type="pct"/>
            <w:hideMark/>
          </w:tcPr>
          <w:p w14:paraId="75A6BA1B"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30.6%</w:t>
            </w:r>
          </w:p>
        </w:tc>
        <w:tc>
          <w:tcPr>
            <w:tcW w:w="504" w:type="pct"/>
            <w:hideMark/>
          </w:tcPr>
          <w:p w14:paraId="183E9639"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29</w:t>
            </w:r>
          </w:p>
        </w:tc>
        <w:tc>
          <w:tcPr>
            <w:tcW w:w="487" w:type="pct"/>
            <w:hideMark/>
          </w:tcPr>
          <w:p w14:paraId="3415B84A"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40.3%</w:t>
            </w:r>
          </w:p>
        </w:tc>
        <w:tc>
          <w:tcPr>
            <w:tcW w:w="504" w:type="pct"/>
            <w:hideMark/>
          </w:tcPr>
          <w:p w14:paraId="404BAF79"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10</w:t>
            </w:r>
          </w:p>
        </w:tc>
        <w:tc>
          <w:tcPr>
            <w:tcW w:w="488" w:type="pct"/>
            <w:hideMark/>
          </w:tcPr>
          <w:p w14:paraId="32977E7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13.9%</w:t>
            </w:r>
          </w:p>
        </w:tc>
        <w:tc>
          <w:tcPr>
            <w:tcW w:w="504" w:type="pct"/>
            <w:hideMark/>
          </w:tcPr>
          <w:p w14:paraId="78DB55F9"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12</w:t>
            </w:r>
          </w:p>
        </w:tc>
        <w:tc>
          <w:tcPr>
            <w:tcW w:w="488" w:type="pct"/>
            <w:hideMark/>
          </w:tcPr>
          <w:p w14:paraId="117E1AE2"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16.7%</w:t>
            </w:r>
          </w:p>
        </w:tc>
        <w:tc>
          <w:tcPr>
            <w:tcW w:w="76" w:type="pct"/>
            <w:hideMark/>
          </w:tcPr>
          <w:p w14:paraId="2DDA1975"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r>
      <w:tr w:rsidR="00C7545E" w:rsidRPr="00C7545E" w14:paraId="1D5D7B83" w14:textId="77777777" w:rsidTr="00C754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 w:type="pct"/>
            <w:hideMark/>
          </w:tcPr>
          <w:p w14:paraId="22626827"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E2</w:t>
            </w:r>
          </w:p>
        </w:tc>
        <w:tc>
          <w:tcPr>
            <w:tcW w:w="504" w:type="pct"/>
            <w:hideMark/>
          </w:tcPr>
          <w:p w14:paraId="344268B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53</w:t>
            </w:r>
          </w:p>
        </w:tc>
        <w:tc>
          <w:tcPr>
            <w:tcW w:w="504" w:type="pct"/>
            <w:hideMark/>
          </w:tcPr>
          <w:p w14:paraId="72B76E4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14</w:t>
            </w:r>
          </w:p>
        </w:tc>
        <w:tc>
          <w:tcPr>
            <w:tcW w:w="456" w:type="pct"/>
            <w:hideMark/>
          </w:tcPr>
          <w:p w14:paraId="020E45B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26.4%</w:t>
            </w:r>
          </w:p>
        </w:tc>
        <w:tc>
          <w:tcPr>
            <w:tcW w:w="504" w:type="pct"/>
            <w:hideMark/>
          </w:tcPr>
          <w:p w14:paraId="7894CEF2"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17</w:t>
            </w:r>
          </w:p>
        </w:tc>
        <w:tc>
          <w:tcPr>
            <w:tcW w:w="487" w:type="pct"/>
            <w:hideMark/>
          </w:tcPr>
          <w:p w14:paraId="7FD421D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32.1%</w:t>
            </w:r>
          </w:p>
        </w:tc>
        <w:tc>
          <w:tcPr>
            <w:tcW w:w="504" w:type="pct"/>
            <w:hideMark/>
          </w:tcPr>
          <w:p w14:paraId="0822EC5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8</w:t>
            </w:r>
          </w:p>
        </w:tc>
        <w:tc>
          <w:tcPr>
            <w:tcW w:w="488" w:type="pct"/>
            <w:hideMark/>
          </w:tcPr>
          <w:p w14:paraId="3ED1276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15.1%</w:t>
            </w:r>
          </w:p>
        </w:tc>
        <w:tc>
          <w:tcPr>
            <w:tcW w:w="504" w:type="pct"/>
            <w:hideMark/>
          </w:tcPr>
          <w:p w14:paraId="78E1B94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14</w:t>
            </w:r>
          </w:p>
        </w:tc>
        <w:tc>
          <w:tcPr>
            <w:tcW w:w="488" w:type="pct"/>
            <w:hideMark/>
          </w:tcPr>
          <w:p w14:paraId="068D428B"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26.4%</w:t>
            </w:r>
          </w:p>
        </w:tc>
        <w:tc>
          <w:tcPr>
            <w:tcW w:w="76" w:type="pct"/>
            <w:hideMark/>
          </w:tcPr>
          <w:p w14:paraId="743E8411"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r>
      <w:tr w:rsidR="00C7545E" w:rsidRPr="00C7545E" w14:paraId="45251245" w14:textId="77777777" w:rsidTr="00C7545E">
        <w:trPr>
          <w:trHeight w:val="300"/>
        </w:trPr>
        <w:tc>
          <w:tcPr>
            <w:cnfStyle w:val="001000000000" w:firstRow="0" w:lastRow="0" w:firstColumn="1" w:lastColumn="0" w:oddVBand="0" w:evenVBand="0" w:oddHBand="0" w:evenHBand="0" w:firstRowFirstColumn="0" w:firstRowLastColumn="0" w:lastRowFirstColumn="0" w:lastRowLastColumn="0"/>
            <w:tcW w:w="486" w:type="pct"/>
            <w:hideMark/>
          </w:tcPr>
          <w:p w14:paraId="26580378"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E1</w:t>
            </w:r>
          </w:p>
        </w:tc>
        <w:tc>
          <w:tcPr>
            <w:tcW w:w="504" w:type="pct"/>
            <w:hideMark/>
          </w:tcPr>
          <w:p w14:paraId="1989D2E3"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14</w:t>
            </w:r>
          </w:p>
        </w:tc>
        <w:tc>
          <w:tcPr>
            <w:tcW w:w="504" w:type="pct"/>
            <w:hideMark/>
          </w:tcPr>
          <w:p w14:paraId="576BFC18"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w:t>
            </w:r>
          </w:p>
        </w:tc>
        <w:tc>
          <w:tcPr>
            <w:tcW w:w="456" w:type="pct"/>
            <w:hideMark/>
          </w:tcPr>
          <w:p w14:paraId="64B3164F"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21.4%</w:t>
            </w:r>
          </w:p>
        </w:tc>
        <w:tc>
          <w:tcPr>
            <w:tcW w:w="504" w:type="pct"/>
            <w:hideMark/>
          </w:tcPr>
          <w:p w14:paraId="456BBCA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6</w:t>
            </w:r>
          </w:p>
        </w:tc>
        <w:tc>
          <w:tcPr>
            <w:tcW w:w="487" w:type="pct"/>
            <w:hideMark/>
          </w:tcPr>
          <w:p w14:paraId="51301D7E"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42.9%</w:t>
            </w:r>
          </w:p>
        </w:tc>
        <w:tc>
          <w:tcPr>
            <w:tcW w:w="504" w:type="pct"/>
            <w:hideMark/>
          </w:tcPr>
          <w:p w14:paraId="3DE83CAC"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w:t>
            </w:r>
          </w:p>
        </w:tc>
        <w:tc>
          <w:tcPr>
            <w:tcW w:w="488" w:type="pct"/>
            <w:hideMark/>
          </w:tcPr>
          <w:p w14:paraId="116C5A6B"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7.1%</w:t>
            </w:r>
          </w:p>
        </w:tc>
        <w:tc>
          <w:tcPr>
            <w:tcW w:w="504" w:type="pct"/>
            <w:hideMark/>
          </w:tcPr>
          <w:p w14:paraId="04D57CBD"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w:t>
            </w:r>
          </w:p>
        </w:tc>
        <w:tc>
          <w:tcPr>
            <w:tcW w:w="488" w:type="pct"/>
            <w:hideMark/>
          </w:tcPr>
          <w:p w14:paraId="0D1F052D"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28.6%</w:t>
            </w:r>
          </w:p>
        </w:tc>
        <w:tc>
          <w:tcPr>
            <w:tcW w:w="76" w:type="pct"/>
            <w:hideMark/>
          </w:tcPr>
          <w:p w14:paraId="7A1650C2"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r>
      <w:tr w:rsidR="00C7545E" w:rsidRPr="00C7545E" w14:paraId="5A4A9D42" w14:textId="77777777" w:rsidTr="00C754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 w:type="pct"/>
            <w:hideMark/>
          </w:tcPr>
          <w:p w14:paraId="3A3ABB35"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Senior</w:t>
            </w:r>
          </w:p>
        </w:tc>
        <w:tc>
          <w:tcPr>
            <w:tcW w:w="504" w:type="pct"/>
            <w:noWrap/>
            <w:hideMark/>
          </w:tcPr>
          <w:p w14:paraId="7A2CA76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5</w:t>
            </w:r>
          </w:p>
        </w:tc>
        <w:tc>
          <w:tcPr>
            <w:tcW w:w="504" w:type="pct"/>
            <w:hideMark/>
          </w:tcPr>
          <w:p w14:paraId="1E203C9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w:t>
            </w:r>
          </w:p>
        </w:tc>
        <w:tc>
          <w:tcPr>
            <w:tcW w:w="456" w:type="pct"/>
            <w:hideMark/>
          </w:tcPr>
          <w:p w14:paraId="55C1630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40.0%</w:t>
            </w:r>
          </w:p>
        </w:tc>
        <w:tc>
          <w:tcPr>
            <w:tcW w:w="504" w:type="pct"/>
            <w:hideMark/>
          </w:tcPr>
          <w:p w14:paraId="77007B7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0</w:t>
            </w:r>
          </w:p>
        </w:tc>
        <w:tc>
          <w:tcPr>
            <w:tcW w:w="487" w:type="pct"/>
            <w:hideMark/>
          </w:tcPr>
          <w:p w14:paraId="688CD34D"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0.0%</w:t>
            </w:r>
          </w:p>
        </w:tc>
        <w:tc>
          <w:tcPr>
            <w:tcW w:w="504" w:type="pct"/>
            <w:hideMark/>
          </w:tcPr>
          <w:p w14:paraId="7D9319CB"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w:t>
            </w:r>
          </w:p>
        </w:tc>
        <w:tc>
          <w:tcPr>
            <w:tcW w:w="488" w:type="pct"/>
            <w:hideMark/>
          </w:tcPr>
          <w:p w14:paraId="0F51855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40.0%</w:t>
            </w:r>
          </w:p>
        </w:tc>
        <w:tc>
          <w:tcPr>
            <w:tcW w:w="504" w:type="pct"/>
            <w:hideMark/>
          </w:tcPr>
          <w:p w14:paraId="4576547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w:t>
            </w:r>
          </w:p>
        </w:tc>
        <w:tc>
          <w:tcPr>
            <w:tcW w:w="488" w:type="pct"/>
            <w:hideMark/>
          </w:tcPr>
          <w:p w14:paraId="679359F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20.0%</w:t>
            </w:r>
          </w:p>
        </w:tc>
        <w:tc>
          <w:tcPr>
            <w:tcW w:w="76" w:type="pct"/>
            <w:hideMark/>
          </w:tcPr>
          <w:p w14:paraId="1AEEE81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r>
      <w:tr w:rsidR="00C7545E" w:rsidRPr="00C7545E" w14:paraId="724055E0" w14:textId="77777777" w:rsidTr="00C7545E">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7B7FE42F"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Total</w:t>
            </w:r>
          </w:p>
        </w:tc>
        <w:tc>
          <w:tcPr>
            <w:tcW w:w="504" w:type="pct"/>
            <w:hideMark/>
          </w:tcPr>
          <w:p w14:paraId="7461DEE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466</w:t>
            </w:r>
          </w:p>
        </w:tc>
        <w:tc>
          <w:tcPr>
            <w:tcW w:w="504" w:type="pct"/>
            <w:noWrap/>
            <w:hideMark/>
          </w:tcPr>
          <w:p w14:paraId="69B11942"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172</w:t>
            </w:r>
          </w:p>
        </w:tc>
        <w:tc>
          <w:tcPr>
            <w:tcW w:w="456" w:type="pct"/>
            <w:hideMark/>
          </w:tcPr>
          <w:p w14:paraId="4A22F4FC"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36.9%</w:t>
            </w:r>
          </w:p>
        </w:tc>
        <w:tc>
          <w:tcPr>
            <w:tcW w:w="504" w:type="pct"/>
            <w:noWrap/>
            <w:hideMark/>
          </w:tcPr>
          <w:p w14:paraId="3A1D32A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151</w:t>
            </w:r>
          </w:p>
        </w:tc>
        <w:tc>
          <w:tcPr>
            <w:tcW w:w="487" w:type="pct"/>
            <w:hideMark/>
          </w:tcPr>
          <w:p w14:paraId="0D2BFE1E"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32.4%</w:t>
            </w:r>
          </w:p>
        </w:tc>
        <w:tc>
          <w:tcPr>
            <w:tcW w:w="504" w:type="pct"/>
            <w:noWrap/>
            <w:hideMark/>
          </w:tcPr>
          <w:p w14:paraId="6BC07E24"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45</w:t>
            </w:r>
          </w:p>
        </w:tc>
        <w:tc>
          <w:tcPr>
            <w:tcW w:w="488" w:type="pct"/>
            <w:hideMark/>
          </w:tcPr>
          <w:p w14:paraId="52B42297"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9.7%</w:t>
            </w:r>
          </w:p>
        </w:tc>
        <w:tc>
          <w:tcPr>
            <w:tcW w:w="504" w:type="pct"/>
            <w:noWrap/>
            <w:hideMark/>
          </w:tcPr>
          <w:p w14:paraId="639FC9E7"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98</w:t>
            </w:r>
          </w:p>
        </w:tc>
        <w:tc>
          <w:tcPr>
            <w:tcW w:w="488" w:type="pct"/>
            <w:hideMark/>
          </w:tcPr>
          <w:p w14:paraId="041194F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21.0%</w:t>
            </w:r>
          </w:p>
        </w:tc>
        <w:tc>
          <w:tcPr>
            <w:tcW w:w="76" w:type="pct"/>
            <w:hideMark/>
          </w:tcPr>
          <w:p w14:paraId="318C6661"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p>
        </w:tc>
      </w:tr>
    </w:tbl>
    <w:p w14:paraId="33818D9F" w14:textId="77777777" w:rsidR="00C7545E" w:rsidRDefault="00C7545E" w:rsidP="00C7545E">
      <w:pPr>
        <w:pStyle w:val="3Copy-text"/>
      </w:pPr>
      <w:r>
        <w:t>*including apprentices</w:t>
      </w:r>
    </w:p>
    <w:p w14:paraId="0C22D239" w14:textId="77777777" w:rsidR="00C7545E" w:rsidRDefault="00C7545E" w:rsidP="00C7545E">
      <w:pPr>
        <w:pStyle w:val="3Copy-text"/>
      </w:pPr>
      <w:r>
        <w:t>**CHRISTIAN - Christian, Roman Catholic, Church in Wales, Church of England, Baptist/Methodist</w:t>
      </w:r>
      <w:r>
        <w:tab/>
      </w:r>
    </w:p>
    <w:p w14:paraId="2EE796CC" w14:textId="77777777" w:rsidR="00C7545E" w:rsidRDefault="00C7545E" w:rsidP="00C7545E">
      <w:pPr>
        <w:pStyle w:val="3Copy-text"/>
      </w:pPr>
      <w:r>
        <w:t>***OTHER - Agnostic, Atheist, Hindu, Humanist, Muslim, Rastafarian, Sikh, Other</w:t>
      </w:r>
      <w:r>
        <w:tab/>
      </w:r>
      <w:r>
        <w:tab/>
      </w:r>
      <w:r>
        <w:tab/>
      </w:r>
    </w:p>
    <w:p w14:paraId="57919FFE" w14:textId="0590CB88" w:rsidR="00C7545E" w:rsidRDefault="00C7545E" w:rsidP="00C7545E">
      <w:pPr>
        <w:pStyle w:val="3Copy-text"/>
      </w:pPr>
      <w:r>
        <w:t>Disclosure rate: 79.2%</w:t>
      </w:r>
    </w:p>
    <w:p w14:paraId="6C740456" w14:textId="77777777" w:rsidR="00A03923" w:rsidRDefault="00A03923" w:rsidP="00C7545E">
      <w:pPr>
        <w:pStyle w:val="3Copy-text"/>
      </w:pPr>
    </w:p>
    <w:p w14:paraId="5514551A" w14:textId="77777777" w:rsidR="00C7545E" w:rsidRDefault="00C7545E" w:rsidP="00C7545E">
      <w:pPr>
        <w:pStyle w:val="3Copy-text"/>
      </w:pPr>
      <w:r>
        <w:lastRenderedPageBreak/>
        <w:t>Analysis:</w:t>
      </w:r>
    </w:p>
    <w:p w14:paraId="0811A77B" w14:textId="50264CB8" w:rsidR="00C7545E" w:rsidRDefault="00C7545E" w:rsidP="00C7545E">
      <w:pPr>
        <w:pStyle w:val="4Bulletlist"/>
      </w:pPr>
      <w:r>
        <w:t>Although there was a slight increase in the declaration rate from 78% last year to 79.2 % this year, it is still lower than we would wish it to be, we will encourage staff to update their personal record;</w:t>
      </w:r>
    </w:p>
    <w:p w14:paraId="2852D5C7" w14:textId="617C0E33" w:rsidR="00C7545E" w:rsidRDefault="00C7545E" w:rsidP="00C7545E">
      <w:pPr>
        <w:pStyle w:val="4Bulletlist"/>
      </w:pPr>
      <w:r>
        <w:t>36.9% of staff who filled in their data on our HR self-service system declared no religion or belief (none); and</w:t>
      </w:r>
    </w:p>
    <w:p w14:paraId="1EDCD575" w14:textId="139556EE" w:rsidR="00C7545E" w:rsidRDefault="00C7545E" w:rsidP="00C7545E">
      <w:pPr>
        <w:pStyle w:val="4Bulletlist"/>
      </w:pPr>
      <w:r>
        <w:t>It is difficult to draw any conclusions from this data set other than it could demonstrate a diversity of religious belief (including non-belief) in our workforce. We are a faith-friendly workplace, and we have flexible working arrangements in place for staff who wish to observe prayer and/or religious events and holiday; we have two on-site quiet rooms for staff and visitors to use should they wish.</w:t>
      </w:r>
    </w:p>
    <w:p w14:paraId="0CBC95B0" w14:textId="0D21E36D" w:rsidR="00C7545E" w:rsidRDefault="00C7545E" w:rsidP="00C7545E">
      <w:pPr>
        <w:pStyle w:val="3Copy-text"/>
      </w:pPr>
    </w:p>
    <w:p w14:paraId="681E8325" w14:textId="77777777" w:rsidR="00C7545E" w:rsidRDefault="00C7545E">
      <w:pPr>
        <w:spacing w:before="0" w:after="160" w:line="259" w:lineRule="auto"/>
        <w:rPr>
          <w:color w:val="414042"/>
          <w:kern w:val="24"/>
        </w:rPr>
      </w:pPr>
      <w:r>
        <w:br w:type="page"/>
      </w:r>
    </w:p>
    <w:p w14:paraId="4331C9EA" w14:textId="2D9B1B5A" w:rsidR="00616F86" w:rsidRDefault="00616F86" w:rsidP="00616F86">
      <w:pPr>
        <w:pStyle w:val="Caption"/>
        <w:keepNext/>
      </w:pPr>
      <w:r>
        <w:lastRenderedPageBreak/>
        <w:t xml:space="preserve">Table </w:t>
      </w:r>
      <w:fldSimple w:instr=" SEQ Table \* ARABIC ">
        <w:r w:rsidR="00332158">
          <w:rPr>
            <w:noProof/>
          </w:rPr>
          <w:t>14</w:t>
        </w:r>
      </w:fldSimple>
      <w:r>
        <w:t xml:space="preserve">: </w:t>
      </w:r>
      <w:r w:rsidRPr="00B30E58">
        <w:t>External Recruitment by Religion/Belief</w:t>
      </w:r>
    </w:p>
    <w:tbl>
      <w:tblPr>
        <w:tblStyle w:val="GridTable4-Accent4"/>
        <w:tblW w:w="0" w:type="auto"/>
        <w:tblLook w:val="04A0" w:firstRow="1" w:lastRow="0" w:firstColumn="1" w:lastColumn="0" w:noHBand="0" w:noVBand="1"/>
      </w:tblPr>
      <w:tblGrid>
        <w:gridCol w:w="1372"/>
        <w:gridCol w:w="1012"/>
        <w:gridCol w:w="1664"/>
        <w:gridCol w:w="1012"/>
        <w:gridCol w:w="2146"/>
        <w:gridCol w:w="1032"/>
        <w:gridCol w:w="1847"/>
        <w:gridCol w:w="1733"/>
        <w:gridCol w:w="1634"/>
        <w:gridCol w:w="1221"/>
      </w:tblGrid>
      <w:tr w:rsidR="00C7545E" w:rsidRPr="00C7545E" w14:paraId="590E7D05" w14:textId="77777777" w:rsidTr="00616F86">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tcPr>
          <w:p w14:paraId="698F9BCA" w14:textId="77777777" w:rsidR="00C7545E" w:rsidRPr="00C7545E" w:rsidRDefault="00C7545E" w:rsidP="00C7545E">
            <w:pPr>
              <w:spacing w:before="0" w:after="200" w:line="264" w:lineRule="auto"/>
              <w:rPr>
                <w:rFonts w:eastAsia="Calibri" w:cs="Times New Roman"/>
              </w:rPr>
            </w:pPr>
          </w:p>
        </w:tc>
        <w:tc>
          <w:tcPr>
            <w:tcW w:w="0" w:type="auto"/>
            <w:gridSpan w:val="2"/>
            <w:hideMark/>
          </w:tcPr>
          <w:p w14:paraId="45587E55"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Applications received</w:t>
            </w:r>
          </w:p>
        </w:tc>
        <w:tc>
          <w:tcPr>
            <w:tcW w:w="0" w:type="auto"/>
            <w:gridSpan w:val="2"/>
            <w:hideMark/>
          </w:tcPr>
          <w:p w14:paraId="6EF35692"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Successful at sift</w:t>
            </w:r>
          </w:p>
        </w:tc>
        <w:tc>
          <w:tcPr>
            <w:tcW w:w="2918" w:type="dxa"/>
            <w:gridSpan w:val="2"/>
            <w:hideMark/>
          </w:tcPr>
          <w:p w14:paraId="084D1B20"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Offer of employment</w:t>
            </w:r>
          </w:p>
        </w:tc>
        <w:tc>
          <w:tcPr>
            <w:tcW w:w="1733" w:type="dxa"/>
            <w:hideMark/>
          </w:tcPr>
          <w:p w14:paraId="11164650"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Overall success rate</w:t>
            </w:r>
          </w:p>
        </w:tc>
        <w:tc>
          <w:tcPr>
            <w:tcW w:w="0" w:type="auto"/>
            <w:hideMark/>
          </w:tcPr>
          <w:p w14:paraId="1E941A92"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Overall success rate 2015-16</w:t>
            </w:r>
          </w:p>
        </w:tc>
        <w:tc>
          <w:tcPr>
            <w:tcW w:w="0" w:type="auto"/>
            <w:hideMark/>
          </w:tcPr>
          <w:p w14:paraId="32CC0CA9"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 of total job offers</w:t>
            </w:r>
          </w:p>
        </w:tc>
      </w:tr>
      <w:tr w:rsidR="00C7545E" w:rsidRPr="00C7545E" w14:paraId="40212683" w14:textId="77777777" w:rsidTr="00616F86">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0" w:type="auto"/>
          </w:tcPr>
          <w:p w14:paraId="1BDF098D" w14:textId="77777777" w:rsidR="00C7545E" w:rsidRPr="00C7545E" w:rsidRDefault="00C7545E" w:rsidP="00C7545E">
            <w:pPr>
              <w:spacing w:before="0" w:after="200" w:line="264" w:lineRule="auto"/>
              <w:rPr>
                <w:rFonts w:eastAsia="Calibri" w:cs="Times New Roman"/>
                <w:color w:val="000000"/>
              </w:rPr>
            </w:pPr>
          </w:p>
        </w:tc>
        <w:tc>
          <w:tcPr>
            <w:tcW w:w="0" w:type="auto"/>
            <w:hideMark/>
          </w:tcPr>
          <w:p w14:paraId="567E2CC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number</w:t>
            </w:r>
          </w:p>
        </w:tc>
        <w:tc>
          <w:tcPr>
            <w:tcW w:w="0" w:type="auto"/>
            <w:hideMark/>
          </w:tcPr>
          <w:p w14:paraId="4189B8B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 of total application</w:t>
            </w:r>
          </w:p>
        </w:tc>
        <w:tc>
          <w:tcPr>
            <w:tcW w:w="0" w:type="auto"/>
            <w:hideMark/>
          </w:tcPr>
          <w:p w14:paraId="5B805B8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number</w:t>
            </w:r>
          </w:p>
        </w:tc>
        <w:tc>
          <w:tcPr>
            <w:tcW w:w="0" w:type="auto"/>
            <w:hideMark/>
          </w:tcPr>
          <w:p w14:paraId="664477CD"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 of applications successful at sift</w:t>
            </w:r>
          </w:p>
        </w:tc>
        <w:tc>
          <w:tcPr>
            <w:tcW w:w="0" w:type="auto"/>
            <w:hideMark/>
          </w:tcPr>
          <w:p w14:paraId="6BB4D5ED"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number</w:t>
            </w:r>
          </w:p>
        </w:tc>
        <w:tc>
          <w:tcPr>
            <w:tcW w:w="1746" w:type="dxa"/>
            <w:hideMark/>
          </w:tcPr>
          <w:p w14:paraId="137FD8DD"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 of those successful at sift offered employment</w:t>
            </w:r>
          </w:p>
        </w:tc>
        <w:tc>
          <w:tcPr>
            <w:tcW w:w="1733" w:type="dxa"/>
            <w:hideMark/>
          </w:tcPr>
          <w:p w14:paraId="2AAF6230"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w:t>
            </w:r>
          </w:p>
        </w:tc>
        <w:tc>
          <w:tcPr>
            <w:tcW w:w="0" w:type="auto"/>
            <w:hideMark/>
          </w:tcPr>
          <w:p w14:paraId="2556A55A"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w:t>
            </w:r>
          </w:p>
        </w:tc>
        <w:tc>
          <w:tcPr>
            <w:tcW w:w="0" w:type="auto"/>
            <w:hideMark/>
          </w:tcPr>
          <w:p w14:paraId="08124657"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w:t>
            </w:r>
          </w:p>
        </w:tc>
      </w:tr>
      <w:tr w:rsidR="00C7545E" w:rsidRPr="00C7545E" w14:paraId="2B491032" w14:textId="77777777" w:rsidTr="00616F86">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52CF3E30"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 xml:space="preserve">None </w:t>
            </w:r>
          </w:p>
        </w:tc>
        <w:tc>
          <w:tcPr>
            <w:tcW w:w="0" w:type="auto"/>
            <w:hideMark/>
          </w:tcPr>
          <w:p w14:paraId="7391A607"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332</w:t>
            </w:r>
          </w:p>
        </w:tc>
        <w:tc>
          <w:tcPr>
            <w:tcW w:w="0" w:type="auto"/>
            <w:hideMark/>
          </w:tcPr>
          <w:p w14:paraId="359B5EA4"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49.3</w:t>
            </w:r>
          </w:p>
        </w:tc>
        <w:tc>
          <w:tcPr>
            <w:tcW w:w="0" w:type="auto"/>
            <w:hideMark/>
          </w:tcPr>
          <w:p w14:paraId="248A9C69"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132</w:t>
            </w:r>
          </w:p>
        </w:tc>
        <w:tc>
          <w:tcPr>
            <w:tcW w:w="0" w:type="auto"/>
            <w:hideMark/>
          </w:tcPr>
          <w:p w14:paraId="749F3205"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39.8</w:t>
            </w:r>
          </w:p>
        </w:tc>
        <w:tc>
          <w:tcPr>
            <w:tcW w:w="0" w:type="auto"/>
            <w:hideMark/>
          </w:tcPr>
          <w:p w14:paraId="1A4EEDC5"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27</w:t>
            </w:r>
          </w:p>
        </w:tc>
        <w:tc>
          <w:tcPr>
            <w:tcW w:w="1746" w:type="dxa"/>
            <w:hideMark/>
          </w:tcPr>
          <w:p w14:paraId="61044D18"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20.5</w:t>
            </w:r>
          </w:p>
        </w:tc>
        <w:tc>
          <w:tcPr>
            <w:tcW w:w="1733" w:type="dxa"/>
            <w:hideMark/>
          </w:tcPr>
          <w:p w14:paraId="7D0E8A33"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8.1</w:t>
            </w:r>
          </w:p>
        </w:tc>
        <w:tc>
          <w:tcPr>
            <w:tcW w:w="0" w:type="auto"/>
            <w:hideMark/>
          </w:tcPr>
          <w:p w14:paraId="31D8C9BA"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3.8</w:t>
            </w:r>
          </w:p>
        </w:tc>
        <w:tc>
          <w:tcPr>
            <w:tcW w:w="0" w:type="auto"/>
            <w:hideMark/>
          </w:tcPr>
          <w:p w14:paraId="64BFC081"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44.3</w:t>
            </w:r>
          </w:p>
        </w:tc>
      </w:tr>
      <w:tr w:rsidR="00C7545E" w:rsidRPr="00C7545E" w14:paraId="3C462ED5" w14:textId="77777777" w:rsidTr="00616F8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2CFF2741"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Christian*</w:t>
            </w:r>
          </w:p>
        </w:tc>
        <w:tc>
          <w:tcPr>
            <w:tcW w:w="0" w:type="auto"/>
            <w:hideMark/>
          </w:tcPr>
          <w:p w14:paraId="5391C15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242</w:t>
            </w:r>
          </w:p>
        </w:tc>
        <w:tc>
          <w:tcPr>
            <w:tcW w:w="0" w:type="auto"/>
            <w:hideMark/>
          </w:tcPr>
          <w:p w14:paraId="19B28FC1"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36.0</w:t>
            </w:r>
          </w:p>
        </w:tc>
        <w:tc>
          <w:tcPr>
            <w:tcW w:w="0" w:type="auto"/>
            <w:hideMark/>
          </w:tcPr>
          <w:p w14:paraId="7241A997"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91</w:t>
            </w:r>
          </w:p>
        </w:tc>
        <w:tc>
          <w:tcPr>
            <w:tcW w:w="0" w:type="auto"/>
            <w:hideMark/>
          </w:tcPr>
          <w:p w14:paraId="5C13F4D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37.6</w:t>
            </w:r>
          </w:p>
        </w:tc>
        <w:tc>
          <w:tcPr>
            <w:tcW w:w="0" w:type="auto"/>
            <w:hideMark/>
          </w:tcPr>
          <w:p w14:paraId="04A41CF2"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23</w:t>
            </w:r>
          </w:p>
        </w:tc>
        <w:tc>
          <w:tcPr>
            <w:tcW w:w="1746" w:type="dxa"/>
            <w:hideMark/>
          </w:tcPr>
          <w:p w14:paraId="26F71EAC"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25.3</w:t>
            </w:r>
          </w:p>
        </w:tc>
        <w:tc>
          <w:tcPr>
            <w:tcW w:w="1733" w:type="dxa"/>
            <w:hideMark/>
          </w:tcPr>
          <w:p w14:paraId="71606D2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9.5</w:t>
            </w:r>
          </w:p>
        </w:tc>
        <w:tc>
          <w:tcPr>
            <w:tcW w:w="0" w:type="auto"/>
            <w:hideMark/>
          </w:tcPr>
          <w:p w14:paraId="1B481B4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6.7</w:t>
            </w:r>
          </w:p>
        </w:tc>
        <w:tc>
          <w:tcPr>
            <w:tcW w:w="0" w:type="auto"/>
            <w:hideMark/>
          </w:tcPr>
          <w:p w14:paraId="384B4FE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37.7</w:t>
            </w:r>
          </w:p>
        </w:tc>
      </w:tr>
      <w:tr w:rsidR="00C7545E" w:rsidRPr="00C7545E" w14:paraId="7469D69B" w14:textId="77777777" w:rsidTr="00616F86">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6B7F8542"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Other**</w:t>
            </w:r>
          </w:p>
        </w:tc>
        <w:tc>
          <w:tcPr>
            <w:tcW w:w="0" w:type="auto"/>
            <w:hideMark/>
          </w:tcPr>
          <w:p w14:paraId="162813B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32</w:t>
            </w:r>
          </w:p>
        </w:tc>
        <w:tc>
          <w:tcPr>
            <w:tcW w:w="0" w:type="auto"/>
            <w:hideMark/>
          </w:tcPr>
          <w:p w14:paraId="1A881132"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4.8</w:t>
            </w:r>
          </w:p>
        </w:tc>
        <w:tc>
          <w:tcPr>
            <w:tcW w:w="0" w:type="auto"/>
            <w:hideMark/>
          </w:tcPr>
          <w:p w14:paraId="71085EDD"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11</w:t>
            </w:r>
          </w:p>
        </w:tc>
        <w:tc>
          <w:tcPr>
            <w:tcW w:w="0" w:type="auto"/>
            <w:hideMark/>
          </w:tcPr>
          <w:p w14:paraId="692C2ADC"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34.4</w:t>
            </w:r>
          </w:p>
        </w:tc>
        <w:tc>
          <w:tcPr>
            <w:tcW w:w="0" w:type="auto"/>
            <w:hideMark/>
          </w:tcPr>
          <w:p w14:paraId="5E752D63"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w:t>
            </w:r>
          </w:p>
        </w:tc>
        <w:tc>
          <w:tcPr>
            <w:tcW w:w="1746" w:type="dxa"/>
            <w:hideMark/>
          </w:tcPr>
          <w:p w14:paraId="505B0548"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18.2</w:t>
            </w:r>
          </w:p>
        </w:tc>
        <w:tc>
          <w:tcPr>
            <w:tcW w:w="1733" w:type="dxa"/>
            <w:hideMark/>
          </w:tcPr>
          <w:p w14:paraId="4EE67E9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6.3</w:t>
            </w:r>
          </w:p>
        </w:tc>
        <w:tc>
          <w:tcPr>
            <w:tcW w:w="0" w:type="auto"/>
            <w:hideMark/>
          </w:tcPr>
          <w:p w14:paraId="7B931BC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2.8</w:t>
            </w:r>
          </w:p>
        </w:tc>
        <w:tc>
          <w:tcPr>
            <w:tcW w:w="0" w:type="auto"/>
            <w:hideMark/>
          </w:tcPr>
          <w:p w14:paraId="559C9E18"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3.3</w:t>
            </w:r>
          </w:p>
        </w:tc>
      </w:tr>
      <w:tr w:rsidR="00C7545E" w:rsidRPr="00C7545E" w14:paraId="640D75C6" w14:textId="77777777" w:rsidTr="00616F8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1B5AFAFC"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Prefer not to say</w:t>
            </w:r>
          </w:p>
        </w:tc>
        <w:tc>
          <w:tcPr>
            <w:tcW w:w="0" w:type="auto"/>
            <w:hideMark/>
          </w:tcPr>
          <w:p w14:paraId="0C5B66F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53</w:t>
            </w:r>
          </w:p>
        </w:tc>
        <w:tc>
          <w:tcPr>
            <w:tcW w:w="0" w:type="auto"/>
            <w:hideMark/>
          </w:tcPr>
          <w:p w14:paraId="298B091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7.9</w:t>
            </w:r>
          </w:p>
        </w:tc>
        <w:tc>
          <w:tcPr>
            <w:tcW w:w="0" w:type="auto"/>
            <w:hideMark/>
          </w:tcPr>
          <w:p w14:paraId="55E9C4D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26</w:t>
            </w:r>
          </w:p>
        </w:tc>
        <w:tc>
          <w:tcPr>
            <w:tcW w:w="0" w:type="auto"/>
            <w:hideMark/>
          </w:tcPr>
          <w:p w14:paraId="0431A9D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49.1</w:t>
            </w:r>
          </w:p>
        </w:tc>
        <w:tc>
          <w:tcPr>
            <w:tcW w:w="0" w:type="auto"/>
            <w:hideMark/>
          </w:tcPr>
          <w:p w14:paraId="004CDA3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8</w:t>
            </w:r>
          </w:p>
        </w:tc>
        <w:tc>
          <w:tcPr>
            <w:tcW w:w="1746" w:type="dxa"/>
            <w:hideMark/>
          </w:tcPr>
          <w:p w14:paraId="1F5B822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30.8</w:t>
            </w:r>
          </w:p>
        </w:tc>
        <w:tc>
          <w:tcPr>
            <w:tcW w:w="1733" w:type="dxa"/>
            <w:hideMark/>
          </w:tcPr>
          <w:p w14:paraId="149C479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15.1</w:t>
            </w:r>
          </w:p>
        </w:tc>
        <w:tc>
          <w:tcPr>
            <w:tcW w:w="0" w:type="auto"/>
            <w:hideMark/>
          </w:tcPr>
          <w:p w14:paraId="4A744486"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4.7</w:t>
            </w:r>
          </w:p>
        </w:tc>
        <w:tc>
          <w:tcPr>
            <w:tcW w:w="0" w:type="auto"/>
            <w:hideMark/>
          </w:tcPr>
          <w:p w14:paraId="6975B77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13.1</w:t>
            </w:r>
          </w:p>
        </w:tc>
      </w:tr>
      <w:tr w:rsidR="00C7545E" w:rsidRPr="00C7545E" w14:paraId="751B65B3" w14:textId="77777777" w:rsidTr="00616F86">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736C29AF"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No reply</w:t>
            </w:r>
          </w:p>
        </w:tc>
        <w:tc>
          <w:tcPr>
            <w:tcW w:w="0" w:type="auto"/>
            <w:hideMark/>
          </w:tcPr>
          <w:p w14:paraId="178808FA"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14</w:t>
            </w:r>
          </w:p>
        </w:tc>
        <w:tc>
          <w:tcPr>
            <w:tcW w:w="0" w:type="auto"/>
            <w:hideMark/>
          </w:tcPr>
          <w:p w14:paraId="58CD0F99"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2.1</w:t>
            </w:r>
          </w:p>
        </w:tc>
        <w:tc>
          <w:tcPr>
            <w:tcW w:w="0" w:type="auto"/>
            <w:hideMark/>
          </w:tcPr>
          <w:p w14:paraId="4DDC43F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5</w:t>
            </w:r>
          </w:p>
        </w:tc>
        <w:tc>
          <w:tcPr>
            <w:tcW w:w="0" w:type="auto"/>
            <w:hideMark/>
          </w:tcPr>
          <w:p w14:paraId="1627227C"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35.7</w:t>
            </w:r>
          </w:p>
        </w:tc>
        <w:tc>
          <w:tcPr>
            <w:tcW w:w="0" w:type="auto"/>
            <w:hideMark/>
          </w:tcPr>
          <w:p w14:paraId="7662AFC8"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w:t>
            </w:r>
          </w:p>
        </w:tc>
        <w:tc>
          <w:tcPr>
            <w:tcW w:w="1746" w:type="dxa"/>
            <w:hideMark/>
          </w:tcPr>
          <w:p w14:paraId="42FE897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20.0</w:t>
            </w:r>
          </w:p>
        </w:tc>
        <w:tc>
          <w:tcPr>
            <w:tcW w:w="1733" w:type="dxa"/>
            <w:hideMark/>
          </w:tcPr>
          <w:p w14:paraId="39EC4CCF"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7.1</w:t>
            </w:r>
          </w:p>
        </w:tc>
        <w:tc>
          <w:tcPr>
            <w:tcW w:w="0" w:type="auto"/>
            <w:hideMark/>
          </w:tcPr>
          <w:p w14:paraId="394B6BFA"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6.1</w:t>
            </w:r>
          </w:p>
        </w:tc>
        <w:tc>
          <w:tcPr>
            <w:tcW w:w="0" w:type="auto"/>
            <w:hideMark/>
          </w:tcPr>
          <w:p w14:paraId="1D7A3A4D"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1.6</w:t>
            </w:r>
          </w:p>
        </w:tc>
      </w:tr>
      <w:tr w:rsidR="00C7545E" w:rsidRPr="00C7545E" w14:paraId="2F3B0BAD" w14:textId="77777777" w:rsidTr="00616F8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37197A0A"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Total</w:t>
            </w:r>
          </w:p>
        </w:tc>
        <w:tc>
          <w:tcPr>
            <w:tcW w:w="0" w:type="auto"/>
            <w:hideMark/>
          </w:tcPr>
          <w:p w14:paraId="676BAEC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673</w:t>
            </w:r>
          </w:p>
        </w:tc>
        <w:tc>
          <w:tcPr>
            <w:tcW w:w="0" w:type="auto"/>
            <w:hideMark/>
          </w:tcPr>
          <w:p w14:paraId="291C8CF1"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100.0</w:t>
            </w:r>
          </w:p>
        </w:tc>
        <w:tc>
          <w:tcPr>
            <w:tcW w:w="0" w:type="auto"/>
            <w:hideMark/>
          </w:tcPr>
          <w:p w14:paraId="4757B711"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265</w:t>
            </w:r>
          </w:p>
        </w:tc>
        <w:tc>
          <w:tcPr>
            <w:tcW w:w="0" w:type="auto"/>
            <w:hideMark/>
          </w:tcPr>
          <w:p w14:paraId="0B16E5E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39.4</w:t>
            </w:r>
          </w:p>
        </w:tc>
        <w:tc>
          <w:tcPr>
            <w:tcW w:w="0" w:type="auto"/>
            <w:hideMark/>
          </w:tcPr>
          <w:p w14:paraId="087DFFB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61</w:t>
            </w:r>
          </w:p>
        </w:tc>
        <w:tc>
          <w:tcPr>
            <w:tcW w:w="1746" w:type="dxa"/>
            <w:hideMark/>
          </w:tcPr>
          <w:p w14:paraId="64C80FE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23.0</w:t>
            </w:r>
          </w:p>
        </w:tc>
        <w:tc>
          <w:tcPr>
            <w:tcW w:w="1733" w:type="dxa"/>
            <w:hideMark/>
          </w:tcPr>
          <w:p w14:paraId="6A171DDB"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9.1</w:t>
            </w:r>
          </w:p>
        </w:tc>
        <w:tc>
          <w:tcPr>
            <w:tcW w:w="0" w:type="auto"/>
            <w:hideMark/>
          </w:tcPr>
          <w:p w14:paraId="13E14DF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4.8</w:t>
            </w:r>
          </w:p>
        </w:tc>
        <w:tc>
          <w:tcPr>
            <w:tcW w:w="0" w:type="auto"/>
          </w:tcPr>
          <w:p w14:paraId="457832A0"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r>
    </w:tbl>
    <w:p w14:paraId="0E8177E4" w14:textId="77777777" w:rsidR="00C7545E" w:rsidRPr="00C7545E" w:rsidRDefault="00C7545E" w:rsidP="00C7545E"/>
    <w:p w14:paraId="5BFA120A" w14:textId="77777777" w:rsidR="00C7545E" w:rsidRPr="00C7545E" w:rsidRDefault="00C7545E" w:rsidP="00C7545E">
      <w:pPr>
        <w:pStyle w:val="3Copy-text"/>
        <w:rPr>
          <w:rFonts w:eastAsia="Lucida Sans" w:cs="Times New Roman"/>
        </w:rPr>
      </w:pPr>
      <w:r w:rsidRPr="00C7545E">
        <w:rPr>
          <w:rFonts w:eastAsia="Lucida Sans" w:cs="Times New Roman"/>
        </w:rPr>
        <w:t>*Christian, Roman Catholic, Church in Wales, Church of England</w:t>
      </w:r>
    </w:p>
    <w:p w14:paraId="3C20E4D8" w14:textId="2392FF92" w:rsidR="00C7545E" w:rsidRDefault="00C7545E" w:rsidP="00C7545E">
      <w:pPr>
        <w:pStyle w:val="3Copy-text"/>
        <w:rPr>
          <w:rFonts w:eastAsia="Lucida Sans" w:cs="Times New Roman"/>
        </w:rPr>
      </w:pPr>
      <w:r w:rsidRPr="00C7545E">
        <w:rPr>
          <w:rFonts w:eastAsia="Lucida Sans" w:cs="Times New Roman"/>
        </w:rPr>
        <w:t>**Agnostic, Atheist, Hindu, Humanist, Muslim, Rastafarian, Sikh, Other</w:t>
      </w:r>
    </w:p>
    <w:p w14:paraId="2AA85B5E" w14:textId="39D74C22" w:rsidR="00A03923" w:rsidRDefault="00A03923">
      <w:pPr>
        <w:rPr>
          <w:rFonts w:eastAsia="Lucida Sans" w:cs="Times New Roman"/>
          <w:color w:val="414042"/>
          <w:kern w:val="24"/>
        </w:rPr>
      </w:pPr>
      <w:r>
        <w:rPr>
          <w:rFonts w:eastAsia="Lucida Sans" w:cs="Times New Roman"/>
        </w:rPr>
        <w:br w:type="page"/>
      </w:r>
    </w:p>
    <w:p w14:paraId="070AB38F" w14:textId="77777777" w:rsidR="00C7545E" w:rsidRPr="00C7545E" w:rsidRDefault="00C7545E" w:rsidP="00C7545E">
      <w:pPr>
        <w:pStyle w:val="3Copy-text"/>
        <w:rPr>
          <w:rFonts w:eastAsia="Lucida Sans" w:cs="Times New Roman"/>
        </w:rPr>
      </w:pPr>
      <w:r w:rsidRPr="00C7545E">
        <w:rPr>
          <w:rFonts w:eastAsia="Lucida Sans" w:cs="Times New Roman"/>
        </w:rPr>
        <w:lastRenderedPageBreak/>
        <w:t>Analysis:</w:t>
      </w:r>
    </w:p>
    <w:p w14:paraId="4097298D" w14:textId="386FE63A" w:rsidR="00C7545E" w:rsidRPr="00C7545E" w:rsidRDefault="00C7545E" w:rsidP="00C7545E">
      <w:pPr>
        <w:pStyle w:val="4Bulletlist"/>
      </w:pPr>
      <w:r w:rsidRPr="00C7545E">
        <w:t>49.3.% of applicants declared a religion or belief. This is an increase from 35.3% in 2015-2016;</w:t>
      </w:r>
    </w:p>
    <w:p w14:paraId="0221CD55" w14:textId="279EFD0E" w:rsidR="00C7545E" w:rsidRPr="00C7545E" w:rsidRDefault="00C7545E" w:rsidP="00C7545E">
      <w:pPr>
        <w:pStyle w:val="4Bulletlist"/>
      </w:pPr>
      <w:r w:rsidRPr="00C7545E">
        <w:t>The percentage of no replies has decreased from 7.6% in 2015-2016 to 2.1% in 2016-2017;</w:t>
      </w:r>
    </w:p>
    <w:p w14:paraId="65CEF7D0" w14:textId="195ED542" w:rsidR="00C7545E" w:rsidRPr="00C7545E" w:rsidRDefault="00C7545E" w:rsidP="00C7545E">
      <w:pPr>
        <w:pStyle w:val="4Bulletlist"/>
      </w:pPr>
      <w:r w:rsidRPr="00C7545E">
        <w:t>The percentage of “prefer not to say” is the highest out of all of the protected characteristics for recruitment data but it is difficult to draw conclusions as to why this might be the case;</w:t>
      </w:r>
    </w:p>
    <w:p w14:paraId="5005E0C6" w14:textId="2A0562B0" w:rsidR="00C7545E" w:rsidRPr="00C7545E" w:rsidRDefault="00C7545E" w:rsidP="00C7545E">
      <w:pPr>
        <w:pStyle w:val="4Bulletlist"/>
      </w:pPr>
      <w:r w:rsidRPr="00C7545E">
        <w:t>Most jobs (44.3%) went to people who declared “no religion”;</w:t>
      </w:r>
    </w:p>
    <w:p w14:paraId="0C8CE03A" w14:textId="5F775658" w:rsidR="00C7545E" w:rsidRPr="00C7545E" w:rsidRDefault="00C7545E" w:rsidP="00C7545E">
      <w:pPr>
        <w:pStyle w:val="4Bulletlist"/>
      </w:pPr>
      <w:r w:rsidRPr="00C7545E">
        <w:t>The percentage of applications from people who declared other religions increased from 4.1% in 2015-2016 to 4.8% in 2016-2017.3.3% of job offers were made to people who declared “other religion”. Although as the number is so small, it is difficult to draw conclusions;</w:t>
      </w:r>
    </w:p>
    <w:p w14:paraId="1382D1D0" w14:textId="0CB144A6" w:rsidR="00C7545E" w:rsidRPr="00C7545E" w:rsidRDefault="00C7545E" w:rsidP="00C7545E">
      <w:pPr>
        <w:pStyle w:val="4Bulletlist"/>
      </w:pPr>
      <w:r w:rsidRPr="00C7545E">
        <w:t>The success rate of people who declared “other religion” has increased from 2.8% in 2015-2016 to 6.3% in 2016-2017 but this could be due to an increase in the number of people filling in their equality monitoring data; and</w:t>
      </w:r>
    </w:p>
    <w:p w14:paraId="17C5F39A" w14:textId="42FE526D" w:rsidR="00C7545E" w:rsidRDefault="00C7545E" w:rsidP="00C7545E">
      <w:pPr>
        <w:pStyle w:val="4Bulletlist"/>
      </w:pPr>
      <w:r w:rsidRPr="00C7545E">
        <w:t>As stated under the table for Race / Ethnicity, we are taking to steps to address under-representation and to promote the Assembly as an employer of choice.</w:t>
      </w:r>
    </w:p>
    <w:p w14:paraId="31ACE8CE" w14:textId="77777777" w:rsidR="00C7545E" w:rsidRDefault="00C7545E">
      <w:pPr>
        <w:spacing w:before="0" w:after="160" w:line="259" w:lineRule="auto"/>
        <w:rPr>
          <w:rFonts w:eastAsia="Lucida Sans" w:cs="Times New Roman"/>
          <w:color w:val="414042"/>
          <w:kern w:val="24"/>
        </w:rPr>
      </w:pPr>
      <w:r>
        <w:br w:type="page"/>
      </w:r>
    </w:p>
    <w:p w14:paraId="47848C11" w14:textId="5BC8026E" w:rsidR="00C7545E" w:rsidRDefault="00C7545E" w:rsidP="00C7545E">
      <w:pPr>
        <w:pStyle w:val="2Sub-headings"/>
      </w:pPr>
      <w:r w:rsidRPr="00C7545E">
        <w:lastRenderedPageBreak/>
        <w:t>Sexual Orientation</w:t>
      </w:r>
    </w:p>
    <w:p w14:paraId="0B4C3898" w14:textId="56FC527D" w:rsidR="00616F86" w:rsidRDefault="00616F86" w:rsidP="00616F86">
      <w:pPr>
        <w:pStyle w:val="Caption"/>
        <w:keepNext/>
      </w:pPr>
      <w:r>
        <w:t xml:space="preserve">Table </w:t>
      </w:r>
      <w:fldSimple w:instr=" SEQ Table \* ARABIC ">
        <w:r w:rsidR="00332158">
          <w:rPr>
            <w:noProof/>
          </w:rPr>
          <w:t>15</w:t>
        </w:r>
      </w:fldSimple>
      <w:r>
        <w:t xml:space="preserve">: </w:t>
      </w:r>
      <w:r w:rsidRPr="00EB4AC4">
        <w:t>Workforce Sexual Orientation Profile</w:t>
      </w:r>
    </w:p>
    <w:tbl>
      <w:tblPr>
        <w:tblStyle w:val="GridTable4-Accent4"/>
        <w:tblW w:w="5000" w:type="pct"/>
        <w:tblLook w:val="04A0" w:firstRow="1" w:lastRow="0" w:firstColumn="1" w:lastColumn="0" w:noHBand="0" w:noVBand="1"/>
      </w:tblPr>
      <w:tblGrid>
        <w:gridCol w:w="1123"/>
        <w:gridCol w:w="1680"/>
        <w:gridCol w:w="1588"/>
        <w:gridCol w:w="816"/>
        <w:gridCol w:w="1340"/>
        <w:gridCol w:w="852"/>
        <w:gridCol w:w="1582"/>
        <w:gridCol w:w="991"/>
        <w:gridCol w:w="4814"/>
      </w:tblGrid>
      <w:tr w:rsidR="00C7545E" w:rsidRPr="00C7545E" w14:paraId="4AC6582E" w14:textId="77777777" w:rsidTr="00C7545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80" w:type="pct"/>
            <w:hideMark/>
          </w:tcPr>
          <w:p w14:paraId="27D3DC42" w14:textId="77777777" w:rsidR="00C7545E" w:rsidRPr="00C7545E" w:rsidRDefault="00C7545E" w:rsidP="00C7545E">
            <w:pPr>
              <w:spacing w:before="0" w:after="200" w:line="264" w:lineRule="auto"/>
              <w:rPr>
                <w:rFonts w:eastAsia="Calibri" w:cs="Times New Roman"/>
              </w:rPr>
            </w:pPr>
            <w:r w:rsidRPr="00C7545E">
              <w:rPr>
                <w:rFonts w:eastAsia="Calibri" w:cs="Times New Roman"/>
              </w:rPr>
              <w:t>Grade</w:t>
            </w:r>
          </w:p>
        </w:tc>
        <w:tc>
          <w:tcPr>
            <w:tcW w:w="568" w:type="pct"/>
            <w:hideMark/>
          </w:tcPr>
          <w:p w14:paraId="05B59F54"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Total staff</w:t>
            </w:r>
          </w:p>
        </w:tc>
        <w:tc>
          <w:tcPr>
            <w:tcW w:w="813" w:type="pct"/>
            <w:gridSpan w:val="2"/>
            <w:hideMark/>
          </w:tcPr>
          <w:p w14:paraId="23AE1AB5"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LGB and other*</w:t>
            </w:r>
          </w:p>
        </w:tc>
        <w:tc>
          <w:tcPr>
            <w:tcW w:w="741" w:type="pct"/>
            <w:gridSpan w:val="2"/>
            <w:hideMark/>
          </w:tcPr>
          <w:p w14:paraId="69434647"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 xml:space="preserve">Non-LGB </w:t>
            </w:r>
          </w:p>
        </w:tc>
        <w:tc>
          <w:tcPr>
            <w:tcW w:w="870" w:type="pct"/>
            <w:gridSpan w:val="2"/>
            <w:hideMark/>
          </w:tcPr>
          <w:p w14:paraId="54EBF84B"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No Reply/</w:t>
            </w:r>
          </w:p>
          <w:p w14:paraId="7BA141AA"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Prefer not to Say</w:t>
            </w:r>
          </w:p>
        </w:tc>
        <w:tc>
          <w:tcPr>
            <w:tcW w:w="1628" w:type="pct"/>
            <w:hideMark/>
          </w:tcPr>
          <w:p w14:paraId="74611097" w14:textId="77777777" w:rsidR="00C7545E" w:rsidRPr="00C7545E" w:rsidRDefault="00C7545E" w:rsidP="00C7545E">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C7545E">
              <w:rPr>
                <w:rFonts w:eastAsia="Calibri" w:cs="Times New Roman"/>
              </w:rPr>
              <w:t>Comparison of LGB staff by grade</w:t>
            </w:r>
          </w:p>
        </w:tc>
      </w:tr>
      <w:tr w:rsidR="00C7545E" w:rsidRPr="00C7545E" w14:paraId="13261CCC" w14:textId="77777777" w:rsidTr="00C754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 w:type="pct"/>
            <w:hideMark/>
          </w:tcPr>
          <w:p w14:paraId="3631C922"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 </w:t>
            </w:r>
          </w:p>
        </w:tc>
        <w:tc>
          <w:tcPr>
            <w:tcW w:w="568" w:type="pct"/>
            <w:hideMark/>
          </w:tcPr>
          <w:p w14:paraId="2EFDF0D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number</w:t>
            </w:r>
          </w:p>
        </w:tc>
        <w:tc>
          <w:tcPr>
            <w:tcW w:w="537" w:type="pct"/>
            <w:hideMark/>
          </w:tcPr>
          <w:p w14:paraId="5F0C8F77"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number</w:t>
            </w:r>
          </w:p>
        </w:tc>
        <w:tc>
          <w:tcPr>
            <w:tcW w:w="276" w:type="pct"/>
            <w:hideMark/>
          </w:tcPr>
          <w:p w14:paraId="7FE8A6A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w:t>
            </w:r>
          </w:p>
        </w:tc>
        <w:tc>
          <w:tcPr>
            <w:tcW w:w="453" w:type="pct"/>
            <w:hideMark/>
          </w:tcPr>
          <w:p w14:paraId="1B4DB653"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 xml:space="preserve">number </w:t>
            </w:r>
          </w:p>
        </w:tc>
        <w:tc>
          <w:tcPr>
            <w:tcW w:w="288" w:type="pct"/>
            <w:hideMark/>
          </w:tcPr>
          <w:p w14:paraId="0F58526A"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w:t>
            </w:r>
          </w:p>
        </w:tc>
        <w:tc>
          <w:tcPr>
            <w:tcW w:w="535" w:type="pct"/>
            <w:hideMark/>
          </w:tcPr>
          <w:p w14:paraId="4A5E7231"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number</w:t>
            </w:r>
          </w:p>
        </w:tc>
        <w:tc>
          <w:tcPr>
            <w:tcW w:w="335" w:type="pct"/>
            <w:hideMark/>
          </w:tcPr>
          <w:p w14:paraId="244F98CB"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w:t>
            </w:r>
          </w:p>
        </w:tc>
        <w:tc>
          <w:tcPr>
            <w:tcW w:w="1628" w:type="pct"/>
            <w:hideMark/>
          </w:tcPr>
          <w:p w14:paraId="1CA5792B" w14:textId="77777777" w:rsidR="00C7545E" w:rsidRPr="00C7545E" w:rsidRDefault="00C7545E" w:rsidP="00C7545E">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C7545E">
              <w:rPr>
                <w:rFonts w:eastAsia="Calibri" w:cs="Times New Roman"/>
                <w:b/>
                <w:color w:val="000000"/>
              </w:rPr>
              <w:t>2016-17 / 2015-16</w:t>
            </w:r>
          </w:p>
        </w:tc>
      </w:tr>
      <w:tr w:rsidR="00C7545E" w:rsidRPr="00C7545E" w14:paraId="431A3E50" w14:textId="77777777" w:rsidTr="00C7545E">
        <w:trPr>
          <w:trHeight w:val="300"/>
        </w:trPr>
        <w:tc>
          <w:tcPr>
            <w:cnfStyle w:val="001000000000" w:firstRow="0" w:lastRow="0" w:firstColumn="1" w:lastColumn="0" w:oddVBand="0" w:evenVBand="0" w:oddHBand="0" w:evenHBand="0" w:firstRowFirstColumn="0" w:firstRowLastColumn="0" w:lastRowFirstColumn="0" w:lastRowLastColumn="0"/>
            <w:tcW w:w="380" w:type="pct"/>
            <w:hideMark/>
          </w:tcPr>
          <w:p w14:paraId="382B7E19"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TS**</w:t>
            </w:r>
          </w:p>
        </w:tc>
        <w:tc>
          <w:tcPr>
            <w:tcW w:w="568" w:type="pct"/>
            <w:hideMark/>
          </w:tcPr>
          <w:p w14:paraId="7791639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130</w:t>
            </w:r>
          </w:p>
        </w:tc>
        <w:tc>
          <w:tcPr>
            <w:tcW w:w="537" w:type="pct"/>
            <w:hideMark/>
          </w:tcPr>
          <w:p w14:paraId="1FA58D64"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w:t>
            </w:r>
          </w:p>
        </w:tc>
        <w:tc>
          <w:tcPr>
            <w:tcW w:w="276" w:type="pct"/>
            <w:hideMark/>
          </w:tcPr>
          <w:p w14:paraId="2D2DF565"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0.8</w:t>
            </w:r>
          </w:p>
        </w:tc>
        <w:tc>
          <w:tcPr>
            <w:tcW w:w="453" w:type="pct"/>
            <w:hideMark/>
          </w:tcPr>
          <w:p w14:paraId="572BE2C8"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104</w:t>
            </w:r>
          </w:p>
        </w:tc>
        <w:tc>
          <w:tcPr>
            <w:tcW w:w="288" w:type="pct"/>
            <w:hideMark/>
          </w:tcPr>
          <w:p w14:paraId="49A7EA3F"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80.0</w:t>
            </w:r>
          </w:p>
        </w:tc>
        <w:tc>
          <w:tcPr>
            <w:tcW w:w="535" w:type="pct"/>
            <w:hideMark/>
          </w:tcPr>
          <w:p w14:paraId="49D259B0"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25</w:t>
            </w:r>
          </w:p>
        </w:tc>
        <w:tc>
          <w:tcPr>
            <w:tcW w:w="335" w:type="pct"/>
            <w:hideMark/>
          </w:tcPr>
          <w:p w14:paraId="25C796DF"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19.2</w:t>
            </w:r>
          </w:p>
        </w:tc>
        <w:tc>
          <w:tcPr>
            <w:tcW w:w="1628" w:type="pct"/>
            <w:hideMark/>
          </w:tcPr>
          <w:p w14:paraId="74F3ABFF" w14:textId="77777777" w:rsidR="00C7545E" w:rsidRPr="00C7545E" w:rsidRDefault="00C7545E" w:rsidP="00C7545E">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0.8/0.8</w:t>
            </w:r>
          </w:p>
        </w:tc>
      </w:tr>
      <w:tr w:rsidR="00C7545E" w:rsidRPr="00C7545E" w14:paraId="6387D908" w14:textId="77777777" w:rsidTr="00C754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 w:type="pct"/>
            <w:hideMark/>
          </w:tcPr>
          <w:p w14:paraId="60D55375"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M3</w:t>
            </w:r>
          </w:p>
        </w:tc>
        <w:tc>
          <w:tcPr>
            <w:tcW w:w="568" w:type="pct"/>
            <w:hideMark/>
          </w:tcPr>
          <w:p w14:paraId="72EFABE2"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67</w:t>
            </w:r>
          </w:p>
        </w:tc>
        <w:tc>
          <w:tcPr>
            <w:tcW w:w="537" w:type="pct"/>
            <w:hideMark/>
          </w:tcPr>
          <w:p w14:paraId="6FA1EB0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2</w:t>
            </w:r>
          </w:p>
        </w:tc>
        <w:tc>
          <w:tcPr>
            <w:tcW w:w="276" w:type="pct"/>
            <w:hideMark/>
          </w:tcPr>
          <w:p w14:paraId="31C20AA4"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3.0</w:t>
            </w:r>
          </w:p>
        </w:tc>
        <w:tc>
          <w:tcPr>
            <w:tcW w:w="453" w:type="pct"/>
            <w:hideMark/>
          </w:tcPr>
          <w:p w14:paraId="7C1EF7BD"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52</w:t>
            </w:r>
          </w:p>
        </w:tc>
        <w:tc>
          <w:tcPr>
            <w:tcW w:w="288" w:type="pct"/>
            <w:hideMark/>
          </w:tcPr>
          <w:p w14:paraId="4B12F66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77.6</w:t>
            </w:r>
          </w:p>
        </w:tc>
        <w:tc>
          <w:tcPr>
            <w:tcW w:w="535" w:type="pct"/>
            <w:hideMark/>
          </w:tcPr>
          <w:p w14:paraId="3183F196"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13</w:t>
            </w:r>
          </w:p>
        </w:tc>
        <w:tc>
          <w:tcPr>
            <w:tcW w:w="335" w:type="pct"/>
            <w:hideMark/>
          </w:tcPr>
          <w:p w14:paraId="2DD7E05C"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19.4</w:t>
            </w:r>
          </w:p>
        </w:tc>
        <w:tc>
          <w:tcPr>
            <w:tcW w:w="1628" w:type="pct"/>
            <w:hideMark/>
          </w:tcPr>
          <w:p w14:paraId="4DC6ED3B" w14:textId="77777777" w:rsidR="00C7545E" w:rsidRPr="00C7545E" w:rsidRDefault="00C7545E" w:rsidP="00C7545E">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3.0/4.6</w:t>
            </w:r>
          </w:p>
        </w:tc>
      </w:tr>
      <w:tr w:rsidR="00C7545E" w:rsidRPr="00C7545E" w14:paraId="78888B9A" w14:textId="77777777" w:rsidTr="00C7545E">
        <w:trPr>
          <w:trHeight w:val="300"/>
        </w:trPr>
        <w:tc>
          <w:tcPr>
            <w:cnfStyle w:val="001000000000" w:firstRow="0" w:lastRow="0" w:firstColumn="1" w:lastColumn="0" w:oddVBand="0" w:evenVBand="0" w:oddHBand="0" w:evenHBand="0" w:firstRowFirstColumn="0" w:firstRowLastColumn="0" w:lastRowFirstColumn="0" w:lastRowLastColumn="0"/>
            <w:tcW w:w="380" w:type="pct"/>
            <w:hideMark/>
          </w:tcPr>
          <w:p w14:paraId="6D9DF79F"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M2</w:t>
            </w:r>
          </w:p>
        </w:tc>
        <w:tc>
          <w:tcPr>
            <w:tcW w:w="568" w:type="pct"/>
            <w:hideMark/>
          </w:tcPr>
          <w:p w14:paraId="6031884B"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125</w:t>
            </w:r>
          </w:p>
        </w:tc>
        <w:tc>
          <w:tcPr>
            <w:tcW w:w="537" w:type="pct"/>
            <w:hideMark/>
          </w:tcPr>
          <w:p w14:paraId="6746970F"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7</w:t>
            </w:r>
          </w:p>
        </w:tc>
        <w:tc>
          <w:tcPr>
            <w:tcW w:w="276" w:type="pct"/>
            <w:hideMark/>
          </w:tcPr>
          <w:p w14:paraId="1A1E1748"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5.6</w:t>
            </w:r>
          </w:p>
        </w:tc>
        <w:tc>
          <w:tcPr>
            <w:tcW w:w="453" w:type="pct"/>
            <w:hideMark/>
          </w:tcPr>
          <w:p w14:paraId="0F6FF02A"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101</w:t>
            </w:r>
          </w:p>
        </w:tc>
        <w:tc>
          <w:tcPr>
            <w:tcW w:w="288" w:type="pct"/>
            <w:hideMark/>
          </w:tcPr>
          <w:p w14:paraId="545D27EA"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80.8</w:t>
            </w:r>
          </w:p>
        </w:tc>
        <w:tc>
          <w:tcPr>
            <w:tcW w:w="535" w:type="pct"/>
            <w:hideMark/>
          </w:tcPr>
          <w:p w14:paraId="14D11FBE"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17</w:t>
            </w:r>
          </w:p>
        </w:tc>
        <w:tc>
          <w:tcPr>
            <w:tcW w:w="335" w:type="pct"/>
            <w:hideMark/>
          </w:tcPr>
          <w:p w14:paraId="35BB666F"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13.6</w:t>
            </w:r>
          </w:p>
        </w:tc>
        <w:tc>
          <w:tcPr>
            <w:tcW w:w="1628" w:type="pct"/>
            <w:hideMark/>
          </w:tcPr>
          <w:p w14:paraId="715582D1" w14:textId="77777777" w:rsidR="00C7545E" w:rsidRPr="00C7545E" w:rsidRDefault="00C7545E" w:rsidP="00C7545E">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5.6/7.4</w:t>
            </w:r>
          </w:p>
        </w:tc>
      </w:tr>
      <w:tr w:rsidR="00C7545E" w:rsidRPr="00C7545E" w14:paraId="33D186BC" w14:textId="77777777" w:rsidTr="00C754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 w:type="pct"/>
            <w:hideMark/>
          </w:tcPr>
          <w:p w14:paraId="29608091"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M1</w:t>
            </w:r>
          </w:p>
        </w:tc>
        <w:tc>
          <w:tcPr>
            <w:tcW w:w="568" w:type="pct"/>
            <w:hideMark/>
          </w:tcPr>
          <w:p w14:paraId="76310A9F"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72</w:t>
            </w:r>
          </w:p>
        </w:tc>
        <w:tc>
          <w:tcPr>
            <w:tcW w:w="537" w:type="pct"/>
            <w:hideMark/>
          </w:tcPr>
          <w:p w14:paraId="52716EB2"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w:t>
            </w:r>
          </w:p>
        </w:tc>
        <w:tc>
          <w:tcPr>
            <w:tcW w:w="276" w:type="pct"/>
            <w:hideMark/>
          </w:tcPr>
          <w:p w14:paraId="64B0831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4.2</w:t>
            </w:r>
          </w:p>
        </w:tc>
        <w:tc>
          <w:tcPr>
            <w:tcW w:w="453" w:type="pct"/>
            <w:hideMark/>
          </w:tcPr>
          <w:p w14:paraId="62A22727"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57</w:t>
            </w:r>
          </w:p>
        </w:tc>
        <w:tc>
          <w:tcPr>
            <w:tcW w:w="288" w:type="pct"/>
            <w:hideMark/>
          </w:tcPr>
          <w:p w14:paraId="01C4F18B"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79.2</w:t>
            </w:r>
          </w:p>
        </w:tc>
        <w:tc>
          <w:tcPr>
            <w:tcW w:w="535" w:type="pct"/>
            <w:hideMark/>
          </w:tcPr>
          <w:p w14:paraId="7B7303F6"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12</w:t>
            </w:r>
          </w:p>
        </w:tc>
        <w:tc>
          <w:tcPr>
            <w:tcW w:w="335" w:type="pct"/>
            <w:hideMark/>
          </w:tcPr>
          <w:p w14:paraId="066BE37E"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16.7</w:t>
            </w:r>
          </w:p>
        </w:tc>
        <w:tc>
          <w:tcPr>
            <w:tcW w:w="1628" w:type="pct"/>
            <w:hideMark/>
          </w:tcPr>
          <w:p w14:paraId="74030B33" w14:textId="77777777" w:rsidR="00C7545E" w:rsidRPr="00C7545E" w:rsidRDefault="00C7545E" w:rsidP="00C7545E">
            <w:pPr>
              <w:spacing w:before="0" w:after="200" w:line="264"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4.2/3.0</w:t>
            </w:r>
          </w:p>
        </w:tc>
      </w:tr>
      <w:tr w:rsidR="00C7545E" w:rsidRPr="00C7545E" w14:paraId="3D726629" w14:textId="77777777" w:rsidTr="00C7545E">
        <w:trPr>
          <w:trHeight w:val="300"/>
        </w:trPr>
        <w:tc>
          <w:tcPr>
            <w:cnfStyle w:val="001000000000" w:firstRow="0" w:lastRow="0" w:firstColumn="1" w:lastColumn="0" w:oddVBand="0" w:evenVBand="0" w:oddHBand="0" w:evenHBand="0" w:firstRowFirstColumn="0" w:firstRowLastColumn="0" w:lastRowFirstColumn="0" w:lastRowLastColumn="0"/>
            <w:tcW w:w="380" w:type="pct"/>
            <w:hideMark/>
          </w:tcPr>
          <w:p w14:paraId="082AA0A9"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E2***</w:t>
            </w:r>
            <w:r w:rsidRPr="00C7545E">
              <w:rPr>
                <w:rFonts w:eastAsia="Calibri" w:cs="Times New Roman"/>
                <w:color w:val="000000"/>
              </w:rPr>
              <w:br/>
              <w:t>E1</w:t>
            </w:r>
            <w:r w:rsidRPr="00C7545E">
              <w:rPr>
                <w:rFonts w:eastAsia="Calibri" w:cs="Times New Roman"/>
                <w:color w:val="000000"/>
              </w:rPr>
              <w:br/>
              <w:t>Senior</w:t>
            </w:r>
          </w:p>
        </w:tc>
        <w:tc>
          <w:tcPr>
            <w:tcW w:w="568" w:type="pct"/>
            <w:hideMark/>
          </w:tcPr>
          <w:p w14:paraId="66621602"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72</w:t>
            </w:r>
          </w:p>
        </w:tc>
        <w:tc>
          <w:tcPr>
            <w:tcW w:w="537" w:type="pct"/>
            <w:hideMark/>
          </w:tcPr>
          <w:p w14:paraId="5BF347C8"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3</w:t>
            </w:r>
          </w:p>
        </w:tc>
        <w:tc>
          <w:tcPr>
            <w:tcW w:w="276" w:type="pct"/>
            <w:hideMark/>
          </w:tcPr>
          <w:p w14:paraId="1F15A391"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4.2</w:t>
            </w:r>
          </w:p>
        </w:tc>
        <w:tc>
          <w:tcPr>
            <w:tcW w:w="453" w:type="pct"/>
            <w:hideMark/>
          </w:tcPr>
          <w:p w14:paraId="1C30B85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51</w:t>
            </w:r>
          </w:p>
        </w:tc>
        <w:tc>
          <w:tcPr>
            <w:tcW w:w="288" w:type="pct"/>
            <w:hideMark/>
          </w:tcPr>
          <w:p w14:paraId="141C79BC"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70.8</w:t>
            </w:r>
          </w:p>
        </w:tc>
        <w:tc>
          <w:tcPr>
            <w:tcW w:w="535" w:type="pct"/>
            <w:hideMark/>
          </w:tcPr>
          <w:p w14:paraId="2376E782"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18</w:t>
            </w:r>
          </w:p>
        </w:tc>
        <w:tc>
          <w:tcPr>
            <w:tcW w:w="335" w:type="pct"/>
            <w:hideMark/>
          </w:tcPr>
          <w:p w14:paraId="239C2146" w14:textId="77777777" w:rsidR="00C7545E" w:rsidRPr="00C7545E" w:rsidRDefault="00C7545E" w:rsidP="00C7545E">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25.0</w:t>
            </w:r>
          </w:p>
        </w:tc>
        <w:tc>
          <w:tcPr>
            <w:tcW w:w="1628" w:type="pct"/>
            <w:hideMark/>
          </w:tcPr>
          <w:p w14:paraId="37B53300" w14:textId="77777777" w:rsidR="00C7545E" w:rsidRPr="00C7545E" w:rsidRDefault="00C7545E" w:rsidP="00C7545E">
            <w:pPr>
              <w:spacing w:before="0" w:after="200" w:line="264"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C7545E">
              <w:rPr>
                <w:rFonts w:eastAsia="Calibri" w:cs="Times New Roman"/>
                <w:color w:val="000000"/>
              </w:rPr>
              <w:t>4.2/3.0</w:t>
            </w:r>
          </w:p>
        </w:tc>
      </w:tr>
      <w:tr w:rsidR="00C7545E" w:rsidRPr="00C7545E" w14:paraId="325EC775" w14:textId="77777777" w:rsidTr="00C754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 w:type="pct"/>
            <w:hideMark/>
          </w:tcPr>
          <w:p w14:paraId="68C60098" w14:textId="77777777" w:rsidR="00C7545E" w:rsidRPr="00C7545E" w:rsidRDefault="00C7545E" w:rsidP="00C7545E">
            <w:pPr>
              <w:spacing w:before="0" w:after="200" w:line="264" w:lineRule="auto"/>
              <w:rPr>
                <w:rFonts w:eastAsia="Calibri" w:cs="Times New Roman"/>
                <w:color w:val="000000"/>
              </w:rPr>
            </w:pPr>
            <w:r w:rsidRPr="00C7545E">
              <w:rPr>
                <w:rFonts w:eastAsia="Calibri" w:cs="Times New Roman"/>
                <w:color w:val="000000"/>
              </w:rPr>
              <w:t>Total</w:t>
            </w:r>
          </w:p>
        </w:tc>
        <w:tc>
          <w:tcPr>
            <w:tcW w:w="568" w:type="pct"/>
            <w:hideMark/>
          </w:tcPr>
          <w:p w14:paraId="0F11AEEC"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466</w:t>
            </w:r>
          </w:p>
        </w:tc>
        <w:tc>
          <w:tcPr>
            <w:tcW w:w="537" w:type="pct"/>
            <w:noWrap/>
            <w:hideMark/>
          </w:tcPr>
          <w:p w14:paraId="34705632"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16</w:t>
            </w:r>
          </w:p>
        </w:tc>
        <w:tc>
          <w:tcPr>
            <w:tcW w:w="276" w:type="pct"/>
            <w:hideMark/>
          </w:tcPr>
          <w:p w14:paraId="54A79A6C"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3.4</w:t>
            </w:r>
          </w:p>
        </w:tc>
        <w:tc>
          <w:tcPr>
            <w:tcW w:w="453" w:type="pct"/>
            <w:noWrap/>
            <w:hideMark/>
          </w:tcPr>
          <w:p w14:paraId="3CDC0E68"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365</w:t>
            </w:r>
          </w:p>
        </w:tc>
        <w:tc>
          <w:tcPr>
            <w:tcW w:w="288" w:type="pct"/>
            <w:hideMark/>
          </w:tcPr>
          <w:p w14:paraId="6121783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78.3</w:t>
            </w:r>
          </w:p>
        </w:tc>
        <w:tc>
          <w:tcPr>
            <w:tcW w:w="535" w:type="pct"/>
            <w:noWrap/>
            <w:hideMark/>
          </w:tcPr>
          <w:p w14:paraId="5C0D6D95"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85</w:t>
            </w:r>
          </w:p>
        </w:tc>
        <w:tc>
          <w:tcPr>
            <w:tcW w:w="335" w:type="pct"/>
            <w:hideMark/>
          </w:tcPr>
          <w:p w14:paraId="0A31CF4A"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C7545E">
              <w:rPr>
                <w:rFonts w:eastAsia="Calibri" w:cs="Times New Roman"/>
                <w:color w:val="000000"/>
              </w:rPr>
              <w:t>18.2</w:t>
            </w:r>
          </w:p>
        </w:tc>
        <w:tc>
          <w:tcPr>
            <w:tcW w:w="1628" w:type="pct"/>
          </w:tcPr>
          <w:p w14:paraId="33E9FB69" w14:textId="77777777" w:rsidR="00C7545E" w:rsidRPr="00C7545E" w:rsidRDefault="00C7545E" w:rsidP="00C7545E">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p>
        </w:tc>
      </w:tr>
    </w:tbl>
    <w:p w14:paraId="47D51E5D" w14:textId="77777777" w:rsidR="00C7545E" w:rsidRDefault="00C7545E" w:rsidP="00C7545E">
      <w:pPr>
        <w:pStyle w:val="3Copy-text"/>
      </w:pPr>
      <w:r>
        <w:t>*lesbian, gay and bisexual; no other minority sexual orientations were recorded by staff.</w:t>
      </w:r>
    </w:p>
    <w:p w14:paraId="55FAC115" w14:textId="77777777" w:rsidR="00C7545E" w:rsidRDefault="00C7545E" w:rsidP="00C7545E">
      <w:pPr>
        <w:pStyle w:val="3Copy-text"/>
      </w:pPr>
      <w:r>
        <w:t>**including apprentices</w:t>
      </w:r>
    </w:p>
    <w:p w14:paraId="0FCE20AB" w14:textId="77777777" w:rsidR="00C7545E" w:rsidRDefault="00C7545E" w:rsidP="00C7545E">
      <w:pPr>
        <w:pStyle w:val="3Copy-text"/>
      </w:pPr>
      <w:r>
        <w:t>*** merged for privacy</w:t>
      </w:r>
    </w:p>
    <w:p w14:paraId="528E57C6" w14:textId="4651DCEB" w:rsidR="00D1717D" w:rsidRDefault="00C7545E" w:rsidP="00C7545E">
      <w:pPr>
        <w:pStyle w:val="3Copy-text"/>
      </w:pPr>
      <w:r>
        <w:t>Disclosure rate: 81.7%</w:t>
      </w:r>
    </w:p>
    <w:p w14:paraId="4D94FEB5" w14:textId="77777777" w:rsidR="00D1717D" w:rsidRDefault="00D1717D">
      <w:pPr>
        <w:spacing w:before="0" w:after="160" w:line="259" w:lineRule="auto"/>
        <w:rPr>
          <w:color w:val="414042"/>
          <w:kern w:val="24"/>
        </w:rPr>
      </w:pPr>
      <w:r>
        <w:br w:type="page"/>
      </w:r>
    </w:p>
    <w:p w14:paraId="223BEA17" w14:textId="77777777" w:rsidR="00C7545E" w:rsidRPr="00C7545E" w:rsidRDefault="00C7545E" w:rsidP="00C7545E">
      <w:pPr>
        <w:spacing w:before="0" w:after="160" w:line="259" w:lineRule="auto"/>
        <w:rPr>
          <w:rFonts w:eastAsia="Lucida Sans" w:cs="Times New Roman"/>
          <w:color w:val="414042"/>
          <w:kern w:val="24"/>
        </w:rPr>
      </w:pPr>
      <w:r w:rsidRPr="00C7545E">
        <w:rPr>
          <w:rFonts w:eastAsia="Lucida Sans" w:cs="Times New Roman"/>
          <w:color w:val="414042"/>
          <w:kern w:val="24"/>
        </w:rPr>
        <w:lastRenderedPageBreak/>
        <w:t>Analysis:</w:t>
      </w:r>
    </w:p>
    <w:p w14:paraId="6F904906" w14:textId="78C6A0F2" w:rsidR="00C7545E" w:rsidRPr="00C7545E" w:rsidRDefault="00C7545E" w:rsidP="00C7545E">
      <w:pPr>
        <w:pStyle w:val="4Bulletlist"/>
      </w:pPr>
      <w:r w:rsidRPr="00C7545E">
        <w:t>The disclosure rate of 81.7% is lower than we would like it to be, hence we periodically remind and encourage staff to update their personal data on our HR self-service system;</w:t>
      </w:r>
    </w:p>
    <w:p w14:paraId="0D4E4EC3" w14:textId="227657FE" w:rsidR="00C7545E" w:rsidRPr="00C7545E" w:rsidRDefault="00C7545E" w:rsidP="00C7545E">
      <w:pPr>
        <w:pStyle w:val="4Bulletlist"/>
      </w:pPr>
      <w:r w:rsidRPr="00C7545E">
        <w:t>The number of staff who identify as LGB has decreased from 17 to 16 from the last reporting period, representing a very slight decrease from 3.8% to 3.4% of our total workforce. There currently is no comparative data available for the Cardiff TTWA for LGB people who are economically active and employed, however Stonewall estimates that 5-7% of the population identify as LGB. Assuming that some of the population included in the 5-7% estimate will be people who are not economically active or in employment (due to their age), our workforce percentage of 3.4% could be considered broadly representative; and</w:t>
      </w:r>
    </w:p>
    <w:p w14:paraId="35FC08F7" w14:textId="2D30832C" w:rsidR="00D1717D" w:rsidRDefault="00C7545E" w:rsidP="00C7545E">
      <w:pPr>
        <w:pStyle w:val="4Bulletlist"/>
      </w:pPr>
      <w:r w:rsidRPr="00C7545E">
        <w:t>The data shows that 19% of our LGB staff are at senior decision-making level at E2, E1 and Senior grades, although caution is required as the sample size is small.</w:t>
      </w:r>
    </w:p>
    <w:p w14:paraId="3924EB4D" w14:textId="77777777" w:rsidR="00D1717D" w:rsidRDefault="00D1717D">
      <w:pPr>
        <w:spacing w:before="0" w:after="160" w:line="259" w:lineRule="auto"/>
        <w:rPr>
          <w:rFonts w:eastAsia="Lucida Sans" w:cs="Times New Roman"/>
          <w:color w:val="414042"/>
          <w:kern w:val="24"/>
        </w:rPr>
      </w:pPr>
      <w:r>
        <w:br w:type="page"/>
      </w:r>
    </w:p>
    <w:p w14:paraId="6EFB7687" w14:textId="21DE071C" w:rsidR="00616F86" w:rsidRDefault="00616F86" w:rsidP="00616F86">
      <w:pPr>
        <w:pStyle w:val="Caption"/>
        <w:keepNext/>
      </w:pPr>
      <w:r>
        <w:lastRenderedPageBreak/>
        <w:t xml:space="preserve">Table </w:t>
      </w:r>
      <w:fldSimple w:instr=" SEQ Table \* ARABIC ">
        <w:r w:rsidR="00332158">
          <w:rPr>
            <w:noProof/>
          </w:rPr>
          <w:t>16</w:t>
        </w:r>
      </w:fldSimple>
      <w:r>
        <w:t xml:space="preserve">: </w:t>
      </w:r>
      <w:r w:rsidRPr="004304F5">
        <w:t>External Recruitment by Sexual Orientation</w:t>
      </w:r>
    </w:p>
    <w:tbl>
      <w:tblPr>
        <w:tblStyle w:val="GridTable4-Accent4"/>
        <w:tblW w:w="0" w:type="auto"/>
        <w:tblLook w:val="04A0" w:firstRow="1" w:lastRow="0" w:firstColumn="1" w:lastColumn="0" w:noHBand="0" w:noVBand="1"/>
      </w:tblPr>
      <w:tblGrid>
        <w:gridCol w:w="915"/>
        <w:gridCol w:w="1172"/>
        <w:gridCol w:w="2731"/>
        <w:gridCol w:w="1012"/>
        <w:gridCol w:w="2374"/>
        <w:gridCol w:w="1039"/>
        <w:gridCol w:w="1847"/>
        <w:gridCol w:w="1107"/>
        <w:gridCol w:w="1107"/>
        <w:gridCol w:w="1369"/>
      </w:tblGrid>
      <w:tr w:rsidR="00D1717D" w:rsidRPr="00D1717D" w14:paraId="0CB559CF" w14:textId="77777777" w:rsidTr="00616F86">
        <w:trPr>
          <w:cnfStyle w:val="100000000000" w:firstRow="1" w:lastRow="0" w:firstColumn="0" w:lastColumn="0" w:oddVBand="0" w:evenVBand="0" w:oddHBand="0" w:evenHBand="0" w:firstRowFirstColumn="0" w:firstRowLastColumn="0" w:lastRowFirstColumn="0" w:lastRowLastColumn="0"/>
          <w:trHeight w:val="1712"/>
        </w:trPr>
        <w:tc>
          <w:tcPr>
            <w:cnfStyle w:val="001000000000" w:firstRow="0" w:lastRow="0" w:firstColumn="1" w:lastColumn="0" w:oddVBand="0" w:evenVBand="0" w:oddHBand="0" w:evenHBand="0" w:firstRowFirstColumn="0" w:firstRowLastColumn="0" w:lastRowFirstColumn="0" w:lastRowLastColumn="0"/>
            <w:tcW w:w="915" w:type="dxa"/>
          </w:tcPr>
          <w:p w14:paraId="7B55EBFE" w14:textId="77777777" w:rsidR="00D1717D" w:rsidRPr="00D1717D" w:rsidRDefault="00D1717D" w:rsidP="00D1717D">
            <w:pPr>
              <w:spacing w:before="0" w:after="200" w:line="264" w:lineRule="auto"/>
              <w:rPr>
                <w:rFonts w:eastAsia="Calibri" w:cs="Times New Roman"/>
                <w:color w:val="000000"/>
              </w:rPr>
            </w:pPr>
          </w:p>
        </w:tc>
        <w:tc>
          <w:tcPr>
            <w:tcW w:w="3903" w:type="dxa"/>
            <w:gridSpan w:val="2"/>
            <w:hideMark/>
          </w:tcPr>
          <w:p w14:paraId="2A4B752C" w14:textId="77777777" w:rsidR="00D1717D" w:rsidRPr="00D1717D" w:rsidRDefault="00D1717D" w:rsidP="00D1717D">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D1717D">
              <w:rPr>
                <w:rFonts w:eastAsia="Calibri" w:cs="Times New Roman"/>
              </w:rPr>
              <w:t>Applications received</w:t>
            </w:r>
          </w:p>
        </w:tc>
        <w:tc>
          <w:tcPr>
            <w:tcW w:w="0" w:type="auto"/>
            <w:gridSpan w:val="2"/>
            <w:hideMark/>
          </w:tcPr>
          <w:p w14:paraId="2BDAE33D" w14:textId="77777777" w:rsidR="00D1717D" w:rsidRPr="00D1717D" w:rsidRDefault="00D1717D" w:rsidP="00D1717D">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D1717D">
              <w:rPr>
                <w:rFonts w:eastAsia="Calibri" w:cs="Times New Roman"/>
              </w:rPr>
              <w:t>Successful at sift</w:t>
            </w:r>
          </w:p>
        </w:tc>
        <w:tc>
          <w:tcPr>
            <w:tcW w:w="2918" w:type="dxa"/>
            <w:gridSpan w:val="2"/>
            <w:hideMark/>
          </w:tcPr>
          <w:p w14:paraId="074C753A" w14:textId="77777777" w:rsidR="00D1717D" w:rsidRPr="00D1717D" w:rsidRDefault="00D1717D" w:rsidP="00D1717D">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D1717D">
              <w:rPr>
                <w:rFonts w:eastAsia="Calibri" w:cs="Times New Roman"/>
              </w:rPr>
              <w:t>Offer of employment</w:t>
            </w:r>
          </w:p>
        </w:tc>
        <w:tc>
          <w:tcPr>
            <w:tcW w:w="1107" w:type="dxa"/>
            <w:hideMark/>
          </w:tcPr>
          <w:p w14:paraId="1B39F249" w14:textId="77777777" w:rsidR="00D1717D" w:rsidRPr="00D1717D" w:rsidRDefault="00D1717D" w:rsidP="00D1717D">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D1717D">
              <w:rPr>
                <w:rFonts w:eastAsia="Calibri" w:cs="Times New Roman"/>
              </w:rPr>
              <w:t>Overall success rate</w:t>
            </w:r>
          </w:p>
        </w:tc>
        <w:tc>
          <w:tcPr>
            <w:tcW w:w="1107" w:type="dxa"/>
            <w:hideMark/>
          </w:tcPr>
          <w:p w14:paraId="1910A78C" w14:textId="77777777" w:rsidR="00D1717D" w:rsidRPr="00D1717D" w:rsidRDefault="00D1717D" w:rsidP="00D1717D">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D1717D">
              <w:rPr>
                <w:rFonts w:eastAsia="Calibri" w:cs="Times New Roman"/>
              </w:rPr>
              <w:t>Overall success rate 2015-16</w:t>
            </w:r>
          </w:p>
        </w:tc>
        <w:tc>
          <w:tcPr>
            <w:tcW w:w="0" w:type="auto"/>
            <w:hideMark/>
          </w:tcPr>
          <w:p w14:paraId="2EF87536" w14:textId="77777777" w:rsidR="00D1717D" w:rsidRPr="00D1717D" w:rsidRDefault="00D1717D" w:rsidP="00D1717D">
            <w:pPr>
              <w:spacing w:before="0" w:after="200" w:line="264" w:lineRule="auto"/>
              <w:cnfStyle w:val="100000000000" w:firstRow="1" w:lastRow="0" w:firstColumn="0" w:lastColumn="0" w:oddVBand="0" w:evenVBand="0" w:oddHBand="0" w:evenHBand="0" w:firstRowFirstColumn="0" w:firstRowLastColumn="0" w:lastRowFirstColumn="0" w:lastRowLastColumn="0"/>
              <w:rPr>
                <w:rFonts w:eastAsia="Calibri" w:cs="Times New Roman"/>
              </w:rPr>
            </w:pPr>
            <w:r w:rsidRPr="00D1717D">
              <w:rPr>
                <w:rFonts w:eastAsia="Calibri" w:cs="Times New Roman"/>
              </w:rPr>
              <w:t>% of total job offers</w:t>
            </w:r>
          </w:p>
        </w:tc>
      </w:tr>
      <w:tr w:rsidR="00D1717D" w:rsidRPr="00D1717D" w14:paraId="0F35BF19" w14:textId="77777777" w:rsidTr="00616F86">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915" w:type="dxa"/>
          </w:tcPr>
          <w:p w14:paraId="24430EBA" w14:textId="77777777" w:rsidR="00D1717D" w:rsidRPr="00D1717D" w:rsidRDefault="00D1717D" w:rsidP="00D1717D">
            <w:pPr>
              <w:spacing w:before="0" w:after="200" w:line="264" w:lineRule="auto"/>
              <w:rPr>
                <w:rFonts w:eastAsia="Calibri" w:cs="Times New Roman"/>
                <w:color w:val="000000"/>
              </w:rPr>
            </w:pPr>
          </w:p>
        </w:tc>
        <w:tc>
          <w:tcPr>
            <w:tcW w:w="1172" w:type="dxa"/>
            <w:hideMark/>
          </w:tcPr>
          <w:p w14:paraId="3B98B5B6"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D1717D">
              <w:rPr>
                <w:rFonts w:eastAsia="Calibri" w:cs="Times New Roman"/>
                <w:b/>
                <w:color w:val="000000"/>
              </w:rPr>
              <w:t>number</w:t>
            </w:r>
          </w:p>
        </w:tc>
        <w:tc>
          <w:tcPr>
            <w:tcW w:w="0" w:type="auto"/>
            <w:hideMark/>
          </w:tcPr>
          <w:p w14:paraId="6C7FCD2C"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D1717D">
              <w:rPr>
                <w:rFonts w:eastAsia="Calibri" w:cs="Times New Roman"/>
                <w:b/>
                <w:color w:val="000000"/>
              </w:rPr>
              <w:t>% of total application</w:t>
            </w:r>
          </w:p>
        </w:tc>
        <w:tc>
          <w:tcPr>
            <w:tcW w:w="0" w:type="auto"/>
            <w:hideMark/>
          </w:tcPr>
          <w:p w14:paraId="7DEF0AD0"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D1717D">
              <w:rPr>
                <w:rFonts w:eastAsia="Calibri" w:cs="Times New Roman"/>
                <w:b/>
                <w:color w:val="000000"/>
              </w:rPr>
              <w:t>number</w:t>
            </w:r>
          </w:p>
        </w:tc>
        <w:tc>
          <w:tcPr>
            <w:tcW w:w="0" w:type="auto"/>
            <w:hideMark/>
          </w:tcPr>
          <w:p w14:paraId="567EDB40"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D1717D">
              <w:rPr>
                <w:rFonts w:eastAsia="Calibri" w:cs="Times New Roman"/>
                <w:b/>
                <w:color w:val="000000"/>
              </w:rPr>
              <w:t>% of applications successful at sift</w:t>
            </w:r>
          </w:p>
        </w:tc>
        <w:tc>
          <w:tcPr>
            <w:tcW w:w="0" w:type="auto"/>
            <w:hideMark/>
          </w:tcPr>
          <w:p w14:paraId="5BAE12AB"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D1717D">
              <w:rPr>
                <w:rFonts w:eastAsia="Calibri" w:cs="Times New Roman"/>
                <w:b/>
                <w:color w:val="000000"/>
              </w:rPr>
              <w:t>number</w:t>
            </w:r>
          </w:p>
        </w:tc>
        <w:tc>
          <w:tcPr>
            <w:tcW w:w="1746" w:type="dxa"/>
            <w:hideMark/>
          </w:tcPr>
          <w:p w14:paraId="400F23F4"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D1717D">
              <w:rPr>
                <w:rFonts w:eastAsia="Calibri" w:cs="Times New Roman"/>
                <w:b/>
                <w:color w:val="000000"/>
              </w:rPr>
              <w:t>% of those successful at sift offered employment</w:t>
            </w:r>
          </w:p>
        </w:tc>
        <w:tc>
          <w:tcPr>
            <w:tcW w:w="1107" w:type="dxa"/>
            <w:hideMark/>
          </w:tcPr>
          <w:p w14:paraId="1FE32ED2"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D1717D">
              <w:rPr>
                <w:rFonts w:eastAsia="Calibri" w:cs="Times New Roman"/>
                <w:b/>
                <w:color w:val="000000"/>
              </w:rPr>
              <w:t>%</w:t>
            </w:r>
          </w:p>
        </w:tc>
        <w:tc>
          <w:tcPr>
            <w:tcW w:w="1107" w:type="dxa"/>
            <w:hideMark/>
          </w:tcPr>
          <w:p w14:paraId="6987E655"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r w:rsidRPr="00D1717D">
              <w:rPr>
                <w:rFonts w:eastAsia="Calibri" w:cs="Times New Roman"/>
                <w:b/>
                <w:color w:val="000000"/>
              </w:rPr>
              <w:t>%</w:t>
            </w:r>
          </w:p>
        </w:tc>
        <w:tc>
          <w:tcPr>
            <w:tcW w:w="0" w:type="auto"/>
          </w:tcPr>
          <w:p w14:paraId="1D9C45FD"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000000"/>
              </w:rPr>
            </w:pPr>
          </w:p>
        </w:tc>
      </w:tr>
      <w:tr w:rsidR="00D1717D" w:rsidRPr="00D1717D" w14:paraId="0B9AD650" w14:textId="77777777" w:rsidTr="00616F86">
        <w:trPr>
          <w:trHeight w:val="298"/>
        </w:trPr>
        <w:tc>
          <w:tcPr>
            <w:cnfStyle w:val="001000000000" w:firstRow="0" w:lastRow="0" w:firstColumn="1" w:lastColumn="0" w:oddVBand="0" w:evenVBand="0" w:oddHBand="0" w:evenHBand="0" w:firstRowFirstColumn="0" w:firstRowLastColumn="0" w:lastRowFirstColumn="0" w:lastRowLastColumn="0"/>
            <w:tcW w:w="915" w:type="dxa"/>
            <w:hideMark/>
          </w:tcPr>
          <w:p w14:paraId="1BF0E0CD" w14:textId="77777777" w:rsidR="00D1717D" w:rsidRPr="00D1717D" w:rsidRDefault="00D1717D" w:rsidP="00D1717D">
            <w:pPr>
              <w:spacing w:before="0" w:after="200" w:line="264" w:lineRule="auto"/>
              <w:rPr>
                <w:rFonts w:eastAsia="Calibri" w:cs="Times New Roman"/>
                <w:color w:val="000000"/>
              </w:rPr>
            </w:pPr>
            <w:r w:rsidRPr="00D1717D">
              <w:rPr>
                <w:rFonts w:eastAsia="Calibri" w:cs="Times New Roman"/>
                <w:color w:val="000000"/>
              </w:rPr>
              <w:t xml:space="preserve">LGB &amp; other </w:t>
            </w:r>
          </w:p>
        </w:tc>
        <w:tc>
          <w:tcPr>
            <w:tcW w:w="1172" w:type="dxa"/>
            <w:hideMark/>
          </w:tcPr>
          <w:p w14:paraId="02ECCD3A"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36</w:t>
            </w:r>
          </w:p>
        </w:tc>
        <w:tc>
          <w:tcPr>
            <w:tcW w:w="0" w:type="auto"/>
            <w:hideMark/>
          </w:tcPr>
          <w:p w14:paraId="5189D8C0"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5.3</w:t>
            </w:r>
          </w:p>
        </w:tc>
        <w:tc>
          <w:tcPr>
            <w:tcW w:w="0" w:type="auto"/>
            <w:hideMark/>
          </w:tcPr>
          <w:p w14:paraId="304D1DD0"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11</w:t>
            </w:r>
          </w:p>
        </w:tc>
        <w:tc>
          <w:tcPr>
            <w:tcW w:w="0" w:type="auto"/>
            <w:hideMark/>
          </w:tcPr>
          <w:p w14:paraId="197D79CD"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30.6</w:t>
            </w:r>
          </w:p>
        </w:tc>
        <w:tc>
          <w:tcPr>
            <w:tcW w:w="0" w:type="auto"/>
            <w:hideMark/>
          </w:tcPr>
          <w:p w14:paraId="7DB65AA7"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1</w:t>
            </w:r>
          </w:p>
        </w:tc>
        <w:tc>
          <w:tcPr>
            <w:tcW w:w="1746" w:type="dxa"/>
            <w:hideMark/>
          </w:tcPr>
          <w:p w14:paraId="57C0A6D0"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9.1</w:t>
            </w:r>
          </w:p>
        </w:tc>
        <w:tc>
          <w:tcPr>
            <w:tcW w:w="1107" w:type="dxa"/>
            <w:hideMark/>
          </w:tcPr>
          <w:p w14:paraId="14CC5401"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2.8</w:t>
            </w:r>
          </w:p>
        </w:tc>
        <w:tc>
          <w:tcPr>
            <w:tcW w:w="1107" w:type="dxa"/>
            <w:hideMark/>
          </w:tcPr>
          <w:p w14:paraId="7DBF670D"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3.0</w:t>
            </w:r>
          </w:p>
        </w:tc>
        <w:tc>
          <w:tcPr>
            <w:tcW w:w="0" w:type="auto"/>
            <w:hideMark/>
          </w:tcPr>
          <w:p w14:paraId="32E162DF"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1.6</w:t>
            </w:r>
          </w:p>
        </w:tc>
      </w:tr>
      <w:tr w:rsidR="00D1717D" w:rsidRPr="00D1717D" w14:paraId="4A07547F" w14:textId="77777777" w:rsidTr="00616F8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15" w:type="dxa"/>
            <w:hideMark/>
          </w:tcPr>
          <w:p w14:paraId="4E1C719C" w14:textId="77777777" w:rsidR="00D1717D" w:rsidRPr="00D1717D" w:rsidRDefault="00D1717D" w:rsidP="00D1717D">
            <w:pPr>
              <w:spacing w:before="0" w:after="200" w:line="264" w:lineRule="auto"/>
              <w:rPr>
                <w:rFonts w:eastAsia="Calibri" w:cs="Times New Roman"/>
                <w:color w:val="000000"/>
              </w:rPr>
            </w:pPr>
            <w:r w:rsidRPr="00D1717D">
              <w:rPr>
                <w:rFonts w:eastAsia="Calibri" w:cs="Times New Roman"/>
                <w:color w:val="000000"/>
              </w:rPr>
              <w:t>Non-LGB</w:t>
            </w:r>
          </w:p>
        </w:tc>
        <w:tc>
          <w:tcPr>
            <w:tcW w:w="1172" w:type="dxa"/>
            <w:hideMark/>
          </w:tcPr>
          <w:p w14:paraId="343F5081"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595</w:t>
            </w:r>
          </w:p>
        </w:tc>
        <w:tc>
          <w:tcPr>
            <w:tcW w:w="0" w:type="auto"/>
            <w:hideMark/>
          </w:tcPr>
          <w:p w14:paraId="7C002EBD"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88.4</w:t>
            </w:r>
          </w:p>
        </w:tc>
        <w:tc>
          <w:tcPr>
            <w:tcW w:w="0" w:type="auto"/>
            <w:hideMark/>
          </w:tcPr>
          <w:p w14:paraId="2E0E0C9C"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240</w:t>
            </w:r>
          </w:p>
        </w:tc>
        <w:tc>
          <w:tcPr>
            <w:tcW w:w="0" w:type="auto"/>
            <w:hideMark/>
          </w:tcPr>
          <w:p w14:paraId="6C069190"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40.3</w:t>
            </w:r>
          </w:p>
        </w:tc>
        <w:tc>
          <w:tcPr>
            <w:tcW w:w="0" w:type="auto"/>
            <w:hideMark/>
          </w:tcPr>
          <w:p w14:paraId="530B39CC"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57</w:t>
            </w:r>
          </w:p>
        </w:tc>
        <w:tc>
          <w:tcPr>
            <w:tcW w:w="1746" w:type="dxa"/>
            <w:hideMark/>
          </w:tcPr>
          <w:p w14:paraId="70B523F1"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23.8</w:t>
            </w:r>
          </w:p>
        </w:tc>
        <w:tc>
          <w:tcPr>
            <w:tcW w:w="1107" w:type="dxa"/>
            <w:hideMark/>
          </w:tcPr>
          <w:p w14:paraId="7030D6C6"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9.6</w:t>
            </w:r>
          </w:p>
        </w:tc>
        <w:tc>
          <w:tcPr>
            <w:tcW w:w="1107" w:type="dxa"/>
            <w:hideMark/>
          </w:tcPr>
          <w:p w14:paraId="1CAC5E72"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4.9</w:t>
            </w:r>
          </w:p>
        </w:tc>
        <w:tc>
          <w:tcPr>
            <w:tcW w:w="0" w:type="auto"/>
            <w:hideMark/>
          </w:tcPr>
          <w:p w14:paraId="1BB00047"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93.4</w:t>
            </w:r>
          </w:p>
        </w:tc>
      </w:tr>
      <w:tr w:rsidR="00D1717D" w:rsidRPr="00D1717D" w14:paraId="08843E97" w14:textId="77777777" w:rsidTr="00616F86">
        <w:trPr>
          <w:trHeight w:val="298"/>
        </w:trPr>
        <w:tc>
          <w:tcPr>
            <w:cnfStyle w:val="001000000000" w:firstRow="0" w:lastRow="0" w:firstColumn="1" w:lastColumn="0" w:oddVBand="0" w:evenVBand="0" w:oddHBand="0" w:evenHBand="0" w:firstRowFirstColumn="0" w:firstRowLastColumn="0" w:lastRowFirstColumn="0" w:lastRowLastColumn="0"/>
            <w:tcW w:w="915" w:type="dxa"/>
            <w:hideMark/>
          </w:tcPr>
          <w:p w14:paraId="16416887" w14:textId="77777777" w:rsidR="00D1717D" w:rsidRPr="00D1717D" w:rsidRDefault="00D1717D" w:rsidP="00D1717D">
            <w:pPr>
              <w:spacing w:before="0" w:after="200" w:line="264" w:lineRule="auto"/>
              <w:rPr>
                <w:rFonts w:eastAsia="Calibri" w:cs="Times New Roman"/>
                <w:color w:val="000000"/>
              </w:rPr>
            </w:pPr>
            <w:r w:rsidRPr="00D1717D">
              <w:rPr>
                <w:rFonts w:eastAsia="Calibri" w:cs="Times New Roman"/>
                <w:color w:val="000000"/>
              </w:rPr>
              <w:t>Prefer not to say</w:t>
            </w:r>
          </w:p>
        </w:tc>
        <w:tc>
          <w:tcPr>
            <w:tcW w:w="1172" w:type="dxa"/>
            <w:hideMark/>
          </w:tcPr>
          <w:p w14:paraId="6653B518"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32</w:t>
            </w:r>
          </w:p>
        </w:tc>
        <w:tc>
          <w:tcPr>
            <w:tcW w:w="0" w:type="auto"/>
            <w:hideMark/>
          </w:tcPr>
          <w:p w14:paraId="34574072"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4.8</w:t>
            </w:r>
          </w:p>
        </w:tc>
        <w:tc>
          <w:tcPr>
            <w:tcW w:w="0" w:type="auto"/>
            <w:hideMark/>
          </w:tcPr>
          <w:p w14:paraId="12503061"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12</w:t>
            </w:r>
          </w:p>
        </w:tc>
        <w:tc>
          <w:tcPr>
            <w:tcW w:w="0" w:type="auto"/>
            <w:hideMark/>
          </w:tcPr>
          <w:p w14:paraId="295CC059"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37.5</w:t>
            </w:r>
          </w:p>
        </w:tc>
        <w:tc>
          <w:tcPr>
            <w:tcW w:w="0" w:type="auto"/>
            <w:hideMark/>
          </w:tcPr>
          <w:p w14:paraId="664BD844"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3</w:t>
            </w:r>
          </w:p>
        </w:tc>
        <w:tc>
          <w:tcPr>
            <w:tcW w:w="1746" w:type="dxa"/>
            <w:hideMark/>
          </w:tcPr>
          <w:p w14:paraId="06B4A2EA"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25.0</w:t>
            </w:r>
          </w:p>
        </w:tc>
        <w:tc>
          <w:tcPr>
            <w:tcW w:w="1107" w:type="dxa"/>
            <w:hideMark/>
          </w:tcPr>
          <w:p w14:paraId="5ADAA84C"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9.4</w:t>
            </w:r>
          </w:p>
        </w:tc>
        <w:tc>
          <w:tcPr>
            <w:tcW w:w="1107" w:type="dxa"/>
            <w:hideMark/>
          </w:tcPr>
          <w:p w14:paraId="11775BC8"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4.9</w:t>
            </w:r>
          </w:p>
        </w:tc>
        <w:tc>
          <w:tcPr>
            <w:tcW w:w="0" w:type="auto"/>
            <w:hideMark/>
          </w:tcPr>
          <w:p w14:paraId="2B08B7E9"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4.9</w:t>
            </w:r>
          </w:p>
        </w:tc>
      </w:tr>
      <w:tr w:rsidR="00D1717D" w:rsidRPr="00D1717D" w14:paraId="67720E5B" w14:textId="77777777" w:rsidTr="00616F8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15" w:type="dxa"/>
            <w:hideMark/>
          </w:tcPr>
          <w:p w14:paraId="5461CB45" w14:textId="77777777" w:rsidR="00D1717D" w:rsidRPr="00D1717D" w:rsidRDefault="00D1717D" w:rsidP="00D1717D">
            <w:pPr>
              <w:spacing w:before="0" w:after="200" w:line="264" w:lineRule="auto"/>
              <w:rPr>
                <w:rFonts w:eastAsia="Calibri" w:cs="Times New Roman"/>
                <w:color w:val="000000"/>
              </w:rPr>
            </w:pPr>
            <w:r w:rsidRPr="00D1717D">
              <w:rPr>
                <w:rFonts w:eastAsia="Calibri" w:cs="Times New Roman"/>
                <w:color w:val="000000"/>
              </w:rPr>
              <w:t>No reply</w:t>
            </w:r>
          </w:p>
        </w:tc>
        <w:tc>
          <w:tcPr>
            <w:tcW w:w="1172" w:type="dxa"/>
            <w:hideMark/>
          </w:tcPr>
          <w:p w14:paraId="46BFFA8C"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10</w:t>
            </w:r>
          </w:p>
        </w:tc>
        <w:tc>
          <w:tcPr>
            <w:tcW w:w="0" w:type="auto"/>
            <w:hideMark/>
          </w:tcPr>
          <w:p w14:paraId="4DFB9697"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1.5</w:t>
            </w:r>
          </w:p>
        </w:tc>
        <w:tc>
          <w:tcPr>
            <w:tcW w:w="0" w:type="auto"/>
            <w:hideMark/>
          </w:tcPr>
          <w:p w14:paraId="47CCEE81"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2</w:t>
            </w:r>
          </w:p>
        </w:tc>
        <w:tc>
          <w:tcPr>
            <w:tcW w:w="0" w:type="auto"/>
            <w:hideMark/>
          </w:tcPr>
          <w:p w14:paraId="1BE6A7ED"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20.0</w:t>
            </w:r>
          </w:p>
        </w:tc>
        <w:tc>
          <w:tcPr>
            <w:tcW w:w="0" w:type="auto"/>
            <w:hideMark/>
          </w:tcPr>
          <w:p w14:paraId="7AC4F980"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0</w:t>
            </w:r>
          </w:p>
        </w:tc>
        <w:tc>
          <w:tcPr>
            <w:tcW w:w="1746" w:type="dxa"/>
            <w:hideMark/>
          </w:tcPr>
          <w:p w14:paraId="71A48B7F"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0.0</w:t>
            </w:r>
          </w:p>
        </w:tc>
        <w:tc>
          <w:tcPr>
            <w:tcW w:w="1107" w:type="dxa"/>
            <w:hideMark/>
          </w:tcPr>
          <w:p w14:paraId="50888BD6"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0.0</w:t>
            </w:r>
          </w:p>
        </w:tc>
        <w:tc>
          <w:tcPr>
            <w:tcW w:w="1107" w:type="dxa"/>
            <w:hideMark/>
          </w:tcPr>
          <w:p w14:paraId="21695E98"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6.3</w:t>
            </w:r>
          </w:p>
        </w:tc>
        <w:tc>
          <w:tcPr>
            <w:tcW w:w="0" w:type="auto"/>
            <w:hideMark/>
          </w:tcPr>
          <w:p w14:paraId="625EBC7E" w14:textId="77777777" w:rsidR="00D1717D" w:rsidRPr="00D1717D" w:rsidRDefault="00D1717D" w:rsidP="00D1717D">
            <w:pPr>
              <w:spacing w:before="0" w:after="200" w:line="264"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D1717D">
              <w:rPr>
                <w:rFonts w:eastAsia="Calibri" w:cs="Times New Roman"/>
                <w:color w:val="000000"/>
              </w:rPr>
              <w:t>0.0</w:t>
            </w:r>
          </w:p>
        </w:tc>
      </w:tr>
      <w:tr w:rsidR="00D1717D" w:rsidRPr="00D1717D" w14:paraId="481BDAAC" w14:textId="77777777" w:rsidTr="00616F86">
        <w:trPr>
          <w:trHeight w:val="298"/>
        </w:trPr>
        <w:tc>
          <w:tcPr>
            <w:cnfStyle w:val="001000000000" w:firstRow="0" w:lastRow="0" w:firstColumn="1" w:lastColumn="0" w:oddVBand="0" w:evenVBand="0" w:oddHBand="0" w:evenHBand="0" w:firstRowFirstColumn="0" w:firstRowLastColumn="0" w:lastRowFirstColumn="0" w:lastRowLastColumn="0"/>
            <w:tcW w:w="915" w:type="dxa"/>
            <w:hideMark/>
          </w:tcPr>
          <w:p w14:paraId="1D9D9812" w14:textId="77777777" w:rsidR="00D1717D" w:rsidRPr="00D1717D" w:rsidRDefault="00D1717D" w:rsidP="00D1717D">
            <w:pPr>
              <w:spacing w:before="0" w:after="200" w:line="264" w:lineRule="auto"/>
              <w:rPr>
                <w:rFonts w:eastAsia="Calibri" w:cs="Times New Roman"/>
                <w:color w:val="000000"/>
              </w:rPr>
            </w:pPr>
            <w:r w:rsidRPr="00D1717D">
              <w:rPr>
                <w:rFonts w:eastAsia="Calibri" w:cs="Times New Roman"/>
                <w:color w:val="000000"/>
              </w:rPr>
              <w:t>Total</w:t>
            </w:r>
          </w:p>
        </w:tc>
        <w:tc>
          <w:tcPr>
            <w:tcW w:w="1172" w:type="dxa"/>
            <w:hideMark/>
          </w:tcPr>
          <w:p w14:paraId="41DFAA4E"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673</w:t>
            </w:r>
          </w:p>
        </w:tc>
        <w:tc>
          <w:tcPr>
            <w:tcW w:w="0" w:type="auto"/>
            <w:hideMark/>
          </w:tcPr>
          <w:p w14:paraId="3C953BEB"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100.00</w:t>
            </w:r>
          </w:p>
        </w:tc>
        <w:tc>
          <w:tcPr>
            <w:tcW w:w="0" w:type="auto"/>
            <w:hideMark/>
          </w:tcPr>
          <w:p w14:paraId="44286815"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265</w:t>
            </w:r>
          </w:p>
        </w:tc>
        <w:tc>
          <w:tcPr>
            <w:tcW w:w="0" w:type="auto"/>
            <w:hideMark/>
          </w:tcPr>
          <w:p w14:paraId="5D2DD2EE"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39.4</w:t>
            </w:r>
          </w:p>
        </w:tc>
        <w:tc>
          <w:tcPr>
            <w:tcW w:w="0" w:type="auto"/>
            <w:hideMark/>
          </w:tcPr>
          <w:p w14:paraId="4201E47B"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61</w:t>
            </w:r>
          </w:p>
        </w:tc>
        <w:tc>
          <w:tcPr>
            <w:tcW w:w="1746" w:type="dxa"/>
            <w:hideMark/>
          </w:tcPr>
          <w:p w14:paraId="5DA70B5D"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23.0</w:t>
            </w:r>
          </w:p>
        </w:tc>
        <w:tc>
          <w:tcPr>
            <w:tcW w:w="1107" w:type="dxa"/>
            <w:hideMark/>
          </w:tcPr>
          <w:p w14:paraId="6C6BCFF7"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9.1</w:t>
            </w:r>
          </w:p>
        </w:tc>
        <w:tc>
          <w:tcPr>
            <w:tcW w:w="1107" w:type="dxa"/>
            <w:hideMark/>
          </w:tcPr>
          <w:p w14:paraId="7F16271F"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4.8</w:t>
            </w:r>
          </w:p>
        </w:tc>
        <w:tc>
          <w:tcPr>
            <w:tcW w:w="0" w:type="auto"/>
            <w:hideMark/>
          </w:tcPr>
          <w:p w14:paraId="0FE7BBC9" w14:textId="77777777" w:rsidR="00D1717D" w:rsidRPr="00D1717D" w:rsidRDefault="00D1717D" w:rsidP="00D1717D">
            <w:pPr>
              <w:spacing w:before="0" w:after="200" w:line="264"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rPr>
            </w:pPr>
            <w:r w:rsidRPr="00D1717D">
              <w:rPr>
                <w:rFonts w:eastAsia="Calibri" w:cs="Times New Roman"/>
                <w:color w:val="000000"/>
              </w:rPr>
              <w:t>100.0</w:t>
            </w:r>
          </w:p>
        </w:tc>
      </w:tr>
    </w:tbl>
    <w:p w14:paraId="0074767E" w14:textId="6BB2880C" w:rsidR="00A03923" w:rsidRDefault="00A03923" w:rsidP="00D1717D">
      <w:pPr>
        <w:spacing w:before="0" w:after="160" w:line="259" w:lineRule="auto"/>
      </w:pPr>
    </w:p>
    <w:p w14:paraId="3B1A2AAC" w14:textId="77777777" w:rsidR="00A03923" w:rsidRDefault="00A03923">
      <w:r>
        <w:br w:type="page"/>
      </w:r>
    </w:p>
    <w:p w14:paraId="1F14E9AA" w14:textId="77777777" w:rsidR="00D1717D" w:rsidRDefault="00D1717D" w:rsidP="00D1717D">
      <w:pPr>
        <w:spacing w:before="0" w:after="160" w:line="259" w:lineRule="auto"/>
      </w:pPr>
      <w:r>
        <w:lastRenderedPageBreak/>
        <w:t>Analysis:</w:t>
      </w:r>
    </w:p>
    <w:p w14:paraId="0054CFFD" w14:textId="34E5F267" w:rsidR="00D1717D" w:rsidRDefault="00D1717D" w:rsidP="00D1717D">
      <w:pPr>
        <w:pStyle w:val="4Bulletlist"/>
      </w:pPr>
      <w:r>
        <w:t>Total percentage of applicants who identify as lesbian, gay, bisexual or other sexual orientation (LGB+) has fallen from 7.7% to 5.3% and remains in line with Stonewall’s estimate of 5-7% of the local populations identifying as LGB+.</w:t>
      </w:r>
    </w:p>
    <w:p w14:paraId="50BBDD59" w14:textId="0170DC44" w:rsidR="00D1717D" w:rsidRDefault="00D1717D" w:rsidP="00D1717D">
      <w:pPr>
        <w:pStyle w:val="4Bulletlist"/>
      </w:pPr>
      <w:r>
        <w:t>“No Replies” has decreased significantly from 7.6% in 2015-2016 to 1.5% in 2016-2017.</w:t>
      </w:r>
    </w:p>
    <w:p w14:paraId="52278144" w14:textId="6E5C9C5E" w:rsidR="00D1717D" w:rsidRDefault="00D1717D" w:rsidP="00D1717D">
      <w:pPr>
        <w:pStyle w:val="4Bulletlist"/>
      </w:pPr>
      <w:r>
        <w:t xml:space="preserve">The success at sift, offer of employment and overall success rates are all significantly lower for LGB+ people, compared to non-LGB / heterosexual people. 1.6% of job offers were made to people who identify as LGB+. </w:t>
      </w:r>
    </w:p>
    <w:p w14:paraId="5096DF13" w14:textId="607FC63D" w:rsidR="00D1717D" w:rsidRDefault="00D1717D" w:rsidP="00D1717D">
      <w:pPr>
        <w:pStyle w:val="4Bulletlist"/>
      </w:pPr>
      <w:r>
        <w:t>We actively promote the Assembly as a LGB+-inclusive employer by attending Pride events, promoting our support for International Day Against Homophobia, Biphobia and Transphobia, and celebrating LGBT History Month. We are also ranked fifth in Stonewall’s Workplace Equality Index and Ross Davies, the Assembly Commission’s Diversity and Inclusion Manager was recognised as Stonewall Cymru’s Ally of the Year for 2017.</w:t>
      </w:r>
    </w:p>
    <w:p w14:paraId="46F8BFC8" w14:textId="0DDED865" w:rsidR="00D1717D" w:rsidRDefault="00D1717D" w:rsidP="00D1717D">
      <w:pPr>
        <w:pStyle w:val="4Bulletlist"/>
      </w:pPr>
      <w:r>
        <w:t>We are taking steps to address under-representation within our workforce, including identifying and removing barriers to inclusion. We are encouraging applications from the widest pool of talent and undertake outreach work to promote the Assembly as an inclusive employer. We deliver unconscious bias training for all recruitment panels and will be undertaking an equality impact assessment of our recruitment policy and practices. This commitment is part of our new Diversity and Inclusion strategy for 2016-2021.</w:t>
      </w:r>
    </w:p>
    <w:p w14:paraId="06DDB450" w14:textId="21213D86" w:rsidR="00901022" w:rsidRDefault="00901022">
      <w:pPr>
        <w:spacing w:before="0" w:after="160" w:line="259" w:lineRule="auto"/>
      </w:pPr>
      <w:r>
        <w:br w:type="page"/>
      </w:r>
    </w:p>
    <w:p w14:paraId="1341FFB2" w14:textId="534B535C" w:rsidR="00D1717D" w:rsidRDefault="00901022" w:rsidP="00901022">
      <w:pPr>
        <w:pStyle w:val="2Sub-headings"/>
      </w:pPr>
      <w:r w:rsidRPr="00901022">
        <w:lastRenderedPageBreak/>
        <w:t>Maternity and Parental Leave</w:t>
      </w:r>
    </w:p>
    <w:p w14:paraId="4C51660A" w14:textId="0D2C6E68" w:rsidR="00901022" w:rsidRDefault="00901022" w:rsidP="00901022">
      <w:pPr>
        <w:pStyle w:val="3Copy-text"/>
      </w:pPr>
      <w:r w:rsidRPr="00901022">
        <w:t>During this reporting period:</w:t>
      </w:r>
    </w:p>
    <w:tbl>
      <w:tblPr>
        <w:tblStyle w:val="PlainTable1"/>
        <w:tblW w:w="5000" w:type="pct"/>
        <w:tblLook w:val="04A0" w:firstRow="1" w:lastRow="0" w:firstColumn="1" w:lastColumn="0" w:noHBand="0" w:noVBand="1"/>
      </w:tblPr>
      <w:tblGrid>
        <w:gridCol w:w="7266"/>
        <w:gridCol w:w="7520"/>
      </w:tblGrid>
      <w:tr w:rsidR="00901022" w:rsidRPr="00901022" w14:paraId="4555AB77" w14:textId="77777777" w:rsidTr="00E368EE">
        <w:trPr>
          <w:cnfStyle w:val="100000000000" w:firstRow="1" w:lastRow="0" w:firstColumn="0" w:lastColumn="0" w:oddVBand="0" w:evenVBand="0" w:oddHBand="0"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2457" w:type="pct"/>
          </w:tcPr>
          <w:p w14:paraId="5C90E01D" w14:textId="2E5B7176" w:rsidR="00901022" w:rsidRPr="00E368EE" w:rsidRDefault="00901022" w:rsidP="00E368EE">
            <w:pPr>
              <w:spacing w:line="288" w:lineRule="auto"/>
              <w:rPr>
                <w:color w:val="282829" w:themeColor="text1"/>
              </w:rPr>
            </w:pPr>
            <w:r w:rsidRPr="00E368EE">
              <w:rPr>
                <w:color w:val="282829" w:themeColor="text1"/>
              </w:rPr>
              <w:t xml:space="preserve">Maternity Leave and Returners </w:t>
            </w:r>
          </w:p>
        </w:tc>
        <w:tc>
          <w:tcPr>
            <w:tcW w:w="2543" w:type="pct"/>
            <w:hideMark/>
          </w:tcPr>
          <w:p w14:paraId="3CF2AFF9" w14:textId="77777777" w:rsidR="00901022" w:rsidRPr="00E368EE" w:rsidRDefault="00901022" w:rsidP="00E368EE">
            <w:pPr>
              <w:spacing w:line="288" w:lineRule="auto"/>
              <w:cnfStyle w:val="100000000000" w:firstRow="1" w:lastRow="0" w:firstColumn="0" w:lastColumn="0" w:oddVBand="0" w:evenVBand="0" w:oddHBand="0" w:evenHBand="0" w:firstRowFirstColumn="0" w:firstRowLastColumn="0" w:lastRowFirstColumn="0" w:lastRowLastColumn="0"/>
              <w:rPr>
                <w:b w:val="0"/>
                <w:color w:val="282829" w:themeColor="text1"/>
              </w:rPr>
            </w:pPr>
            <w:r w:rsidRPr="00E368EE">
              <w:rPr>
                <w:b w:val="0"/>
                <w:color w:val="282829" w:themeColor="text1"/>
              </w:rPr>
              <w:t xml:space="preserve">Eleven women returned from maternity leave during the reporting period, four of whom changed their work pattern on their return to work. </w:t>
            </w:r>
          </w:p>
        </w:tc>
      </w:tr>
      <w:tr w:rsidR="00901022" w:rsidRPr="00901022" w14:paraId="00754AEE" w14:textId="77777777" w:rsidTr="00E36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pct"/>
          </w:tcPr>
          <w:p w14:paraId="4524D791" w14:textId="481EE59D" w:rsidR="00901022" w:rsidRPr="00E368EE" w:rsidRDefault="00901022" w:rsidP="00E368EE">
            <w:pPr>
              <w:spacing w:line="288" w:lineRule="auto"/>
              <w:rPr>
                <w:color w:val="282829" w:themeColor="text1"/>
              </w:rPr>
            </w:pPr>
            <w:r w:rsidRPr="00E368EE">
              <w:rPr>
                <w:color w:val="282829" w:themeColor="text1"/>
              </w:rPr>
              <w:t xml:space="preserve">Co-Parental/Paternity Leave </w:t>
            </w:r>
          </w:p>
        </w:tc>
        <w:tc>
          <w:tcPr>
            <w:tcW w:w="2543" w:type="pct"/>
            <w:hideMark/>
          </w:tcPr>
          <w:p w14:paraId="316EBDD4" w14:textId="77777777" w:rsidR="00901022" w:rsidRPr="00E368EE" w:rsidRDefault="00901022" w:rsidP="00E368EE">
            <w:pPr>
              <w:spacing w:line="288" w:lineRule="auto"/>
              <w:cnfStyle w:val="000000100000" w:firstRow="0" w:lastRow="0" w:firstColumn="0" w:lastColumn="0" w:oddVBand="0" w:evenVBand="0" w:oddHBand="1" w:evenHBand="0" w:firstRowFirstColumn="0" w:firstRowLastColumn="0" w:lastRowFirstColumn="0" w:lastRowLastColumn="0"/>
              <w:rPr>
                <w:color w:val="282829" w:themeColor="text1"/>
              </w:rPr>
            </w:pPr>
            <w:r w:rsidRPr="00E368EE">
              <w:rPr>
                <w:color w:val="282829" w:themeColor="text1"/>
              </w:rPr>
              <w:t>Seven partners took co-parental leave, none of whom reduced their hours on return to work.</w:t>
            </w:r>
          </w:p>
        </w:tc>
      </w:tr>
      <w:tr w:rsidR="00901022" w:rsidRPr="00901022" w14:paraId="7D549EB0" w14:textId="77777777" w:rsidTr="00E368EE">
        <w:tc>
          <w:tcPr>
            <w:cnfStyle w:val="001000000000" w:firstRow="0" w:lastRow="0" w:firstColumn="1" w:lastColumn="0" w:oddVBand="0" w:evenVBand="0" w:oddHBand="0" w:evenHBand="0" w:firstRowFirstColumn="0" w:firstRowLastColumn="0" w:lastRowFirstColumn="0" w:lastRowLastColumn="0"/>
            <w:tcW w:w="2457" w:type="pct"/>
            <w:hideMark/>
          </w:tcPr>
          <w:p w14:paraId="2EC848EE" w14:textId="77777777" w:rsidR="00901022" w:rsidRPr="00E368EE" w:rsidRDefault="00901022" w:rsidP="00E368EE">
            <w:pPr>
              <w:spacing w:line="288" w:lineRule="auto"/>
              <w:rPr>
                <w:color w:val="282829" w:themeColor="text1"/>
              </w:rPr>
            </w:pPr>
            <w:r w:rsidRPr="00E368EE">
              <w:rPr>
                <w:color w:val="282829" w:themeColor="text1"/>
              </w:rPr>
              <w:t>Shared Parental Leave</w:t>
            </w:r>
          </w:p>
        </w:tc>
        <w:tc>
          <w:tcPr>
            <w:tcW w:w="2543" w:type="pct"/>
            <w:hideMark/>
          </w:tcPr>
          <w:p w14:paraId="54A29C57" w14:textId="77777777" w:rsidR="00901022" w:rsidRPr="00E368EE" w:rsidRDefault="00901022" w:rsidP="00E368EE">
            <w:pPr>
              <w:spacing w:line="288" w:lineRule="auto"/>
              <w:cnfStyle w:val="000000000000" w:firstRow="0" w:lastRow="0" w:firstColumn="0" w:lastColumn="0" w:oddVBand="0" w:evenVBand="0" w:oddHBand="0" w:evenHBand="0" w:firstRowFirstColumn="0" w:firstRowLastColumn="0" w:lastRowFirstColumn="0" w:lastRowLastColumn="0"/>
              <w:rPr>
                <w:color w:val="282829" w:themeColor="text1"/>
              </w:rPr>
            </w:pPr>
            <w:r w:rsidRPr="00E368EE">
              <w:rPr>
                <w:color w:val="282829" w:themeColor="text1"/>
              </w:rPr>
              <w:t>One person took Shared Parental Leave.</w:t>
            </w:r>
          </w:p>
        </w:tc>
      </w:tr>
    </w:tbl>
    <w:p w14:paraId="1D1C1723" w14:textId="77777777" w:rsidR="00901022" w:rsidRDefault="00901022" w:rsidP="00901022">
      <w:pPr>
        <w:pStyle w:val="2Sub-headings"/>
      </w:pPr>
      <w:r>
        <w:t>Grievance, Disciplinary and Dismissal Related to Protected Characteristics</w:t>
      </w:r>
    </w:p>
    <w:p w14:paraId="59B04A0B" w14:textId="77777777" w:rsidR="00901022" w:rsidRDefault="00901022" w:rsidP="00901022">
      <w:pPr>
        <w:pStyle w:val="3Copy-text"/>
      </w:pPr>
      <w:r>
        <w:t xml:space="preserve">In the reporting period, we had no grievance or dismissals primarily relating to protected characteristics. </w:t>
      </w:r>
    </w:p>
    <w:p w14:paraId="5B1567E7" w14:textId="77777777" w:rsidR="00901022" w:rsidRDefault="00901022" w:rsidP="00901022">
      <w:pPr>
        <w:pStyle w:val="2Sub-headings"/>
      </w:pPr>
      <w:r>
        <w:t>Complaints about Discrimination / Prohibited Conduct</w:t>
      </w:r>
    </w:p>
    <w:p w14:paraId="5F3FF5F0" w14:textId="78503455" w:rsidR="00901022" w:rsidRDefault="00901022" w:rsidP="00901022">
      <w:pPr>
        <w:pStyle w:val="3Copy-text"/>
      </w:pPr>
      <w:r>
        <w:t>In the reporting period, we received one complaint on the grounds of discrimination in relation to a disciplinary case. The complaint was not taken further. No further details are supplied in order to protect individuals’ privacy.</w:t>
      </w:r>
    </w:p>
    <w:p w14:paraId="37F486B5" w14:textId="77777777" w:rsidR="00901022" w:rsidRDefault="00901022">
      <w:pPr>
        <w:spacing w:before="0" w:after="160" w:line="259" w:lineRule="auto"/>
        <w:rPr>
          <w:color w:val="414042"/>
          <w:kern w:val="24"/>
        </w:rPr>
      </w:pPr>
      <w:r>
        <w:br w:type="page"/>
      </w:r>
    </w:p>
    <w:p w14:paraId="33CADD0B" w14:textId="77777777" w:rsidR="00901022" w:rsidRDefault="00901022" w:rsidP="00901022">
      <w:pPr>
        <w:pStyle w:val="2Sub-headings"/>
      </w:pPr>
      <w:r>
        <w:lastRenderedPageBreak/>
        <w:t>Actions Going Forward:</w:t>
      </w:r>
    </w:p>
    <w:p w14:paraId="088EB535" w14:textId="77777777" w:rsidR="00901022" w:rsidRDefault="00901022" w:rsidP="00901022">
      <w:pPr>
        <w:pStyle w:val="3Copy-text"/>
      </w:pPr>
      <w:r>
        <w:t>Following the analysis of the data for this reporting period, we have identified the following actions which will be taken into account with regards to the delivery of the Diversity and Inclusion Strategy:</w:t>
      </w:r>
    </w:p>
    <w:p w14:paraId="65CA6D4C" w14:textId="7B38ABAC" w:rsidR="00901022" w:rsidRDefault="00901022" w:rsidP="00901022">
      <w:pPr>
        <w:pStyle w:val="4Bulletlist"/>
      </w:pPr>
      <w:r>
        <w:t>Continue to remind and encourage staff periodically to review and update their personal data on our HR IT Payroll system; and</w:t>
      </w:r>
    </w:p>
    <w:p w14:paraId="31371BA8" w14:textId="79B510CF" w:rsidR="00901022" w:rsidRPr="00901022" w:rsidRDefault="00901022" w:rsidP="00901022">
      <w:pPr>
        <w:pStyle w:val="4Bulletlist"/>
      </w:pPr>
      <w:r>
        <w:t>as part of a wider strategy to address underrepresentation in our workforce, develop an attraction strategy which is inclusive of all the protected characteristics and other inequalities where required.</w:t>
      </w:r>
    </w:p>
    <w:p w14:paraId="077A48A0" w14:textId="3AE0A1E6" w:rsidR="00630025" w:rsidRPr="00901022" w:rsidRDefault="00D1717D" w:rsidP="00901022">
      <w:pPr>
        <w:spacing w:before="0" w:after="160" w:line="259" w:lineRule="auto"/>
        <w:rPr>
          <w:rFonts w:eastAsia="Lucida Sans" w:cs="Times New Roman"/>
          <w:color w:val="414042"/>
          <w:kern w:val="24"/>
        </w:rPr>
      </w:pPr>
      <w:r>
        <w:br w:type="page"/>
      </w:r>
    </w:p>
    <w:p w14:paraId="40A27CD9" w14:textId="7362056F" w:rsidR="00AC33F3" w:rsidRDefault="00D553D9" w:rsidP="00D553D9">
      <w:pPr>
        <w:pStyle w:val="1Mainheadings"/>
      </w:pPr>
      <w:bookmarkStart w:id="11" w:name="_Toc506543689"/>
      <w:r w:rsidRPr="00A03923">
        <w:rPr>
          <w:b/>
        </w:rPr>
        <w:lastRenderedPageBreak/>
        <w:t>Annex B:</w:t>
      </w:r>
      <w:r w:rsidRPr="00D553D9">
        <w:t xml:space="preserve"> Equal Pay Audit and Gender Pay Gap Reporting 2017</w:t>
      </w:r>
      <w:bookmarkEnd w:id="11"/>
    </w:p>
    <w:p w14:paraId="127774A7" w14:textId="561887E8" w:rsidR="00D553D9" w:rsidRDefault="00D553D9" w:rsidP="00634FE8">
      <w:pPr>
        <w:pStyle w:val="3Copy-text"/>
        <w:rPr>
          <w:lang w:eastAsia="en-GB"/>
        </w:rPr>
      </w:pPr>
      <w:r w:rsidRPr="00D553D9">
        <w:rPr>
          <w:lang w:eastAsia="en-GB"/>
        </w:rPr>
        <w:t>This report contains the Assembly Commission’s Equal Pay Audit for 2017 and also Gender Gap Reporting Data 2017.</w:t>
      </w:r>
    </w:p>
    <w:p w14:paraId="13B08284" w14:textId="77777777" w:rsidR="00D553D9" w:rsidRDefault="00D553D9" w:rsidP="00634FE8">
      <w:pPr>
        <w:pStyle w:val="2Sub-headings"/>
        <w:rPr>
          <w:lang w:eastAsia="en-GB"/>
        </w:rPr>
      </w:pPr>
      <w:r>
        <w:rPr>
          <w:lang w:eastAsia="en-GB"/>
        </w:rPr>
        <w:t>Equal Pay Audit 2017</w:t>
      </w:r>
    </w:p>
    <w:p w14:paraId="5F07DBF7" w14:textId="77777777" w:rsidR="00D553D9" w:rsidRPr="00D553D9" w:rsidRDefault="00D553D9" w:rsidP="00634FE8">
      <w:pPr>
        <w:pStyle w:val="3Copy-text"/>
        <w:rPr>
          <w:rFonts w:ascii="Times New Roman" w:eastAsia="Calibri" w:hAnsi="Times New Roman" w:cs="Times New Roman"/>
          <w:lang w:eastAsia="en-GB"/>
        </w:rPr>
      </w:pPr>
      <w:r>
        <w:rPr>
          <w:lang w:eastAsia="en-GB"/>
        </w:rPr>
        <w:t>An equal pay audit involves comparing the pay of protected groups who are doing equal work in an organisation, investigating the causes of any pay gaps by gender, ethnicity, religion/belief, disability or working pattern and planning to close any gaps that cannot be justified on grounds other than one of those characteristics. An equal pay audit provides a risk assessment tool for pay structures</w:t>
      </w:r>
      <w:r w:rsidRPr="00D553D9">
        <w:rPr>
          <w:rFonts w:ascii="Calibri" w:eastAsia="Calibri" w:hAnsi="Calibri" w:cs="Times New Roman"/>
          <w:sz w:val="22"/>
          <w:szCs w:val="22"/>
        </w:rPr>
        <w:footnoteReference w:id="1"/>
      </w:r>
      <w:r w:rsidRPr="00D553D9">
        <w:rPr>
          <w:rFonts w:ascii="Times New Roman" w:eastAsia="Calibri" w:hAnsi="Times New Roman" w:cs="Times New Roman"/>
          <w:lang w:eastAsia="en-GB"/>
        </w:rPr>
        <w:t xml:space="preserve"> </w:t>
      </w:r>
    </w:p>
    <w:p w14:paraId="758BAEE8" w14:textId="21104331" w:rsidR="00D553D9" w:rsidRDefault="00D553D9" w:rsidP="00634FE8">
      <w:pPr>
        <w:pStyle w:val="3Copy-text"/>
        <w:rPr>
          <w:lang w:eastAsia="en-GB"/>
        </w:rPr>
      </w:pPr>
      <w:r>
        <w:rPr>
          <w:lang w:eastAsia="en-GB"/>
        </w:rPr>
        <w:t>It can help organisations examine whether their pay practices are free from unfairness and discrimination and that they are compliant with the pay provisions in the Equality Act 2010.</w:t>
      </w:r>
    </w:p>
    <w:p w14:paraId="0AC1F9E3" w14:textId="77777777" w:rsidR="00D553D9" w:rsidRDefault="00D553D9" w:rsidP="00D553D9">
      <w:pPr>
        <w:rPr>
          <w:lang w:eastAsia="en-GB"/>
        </w:rPr>
      </w:pPr>
      <w:r>
        <w:rPr>
          <w:lang w:eastAsia="en-GB"/>
        </w:rPr>
        <w:t>Essential features of a pay audit include:</w:t>
      </w:r>
    </w:p>
    <w:p w14:paraId="4E9C39D4" w14:textId="32127BCF" w:rsidR="00D553D9" w:rsidRDefault="00D553D9" w:rsidP="00D553D9">
      <w:pPr>
        <w:pStyle w:val="4Bulletlist"/>
        <w:rPr>
          <w:lang w:eastAsia="en-GB"/>
        </w:rPr>
      </w:pPr>
      <w:r>
        <w:rPr>
          <w:lang w:eastAsia="en-GB"/>
        </w:rPr>
        <w:t>Comparing the pay of women and men; BME and white staff; disabled and non-disabled staff who are doing equal work;</w:t>
      </w:r>
    </w:p>
    <w:p w14:paraId="5A6354FA" w14:textId="3525416E" w:rsidR="00D553D9" w:rsidRDefault="00D553D9" w:rsidP="00D553D9">
      <w:pPr>
        <w:pStyle w:val="4Bulletlist"/>
        <w:rPr>
          <w:lang w:eastAsia="en-GB"/>
        </w:rPr>
      </w:pPr>
      <w:r>
        <w:rPr>
          <w:lang w:eastAsia="en-GB"/>
        </w:rPr>
        <w:t>Explaining any pay gaps; and</w:t>
      </w:r>
    </w:p>
    <w:p w14:paraId="2FBFE84B" w14:textId="07E288D7" w:rsidR="00D553D9" w:rsidRDefault="00D553D9" w:rsidP="00D553D9">
      <w:pPr>
        <w:pStyle w:val="4Bulletlist"/>
        <w:rPr>
          <w:lang w:eastAsia="en-GB"/>
        </w:rPr>
      </w:pPr>
      <w:r>
        <w:rPr>
          <w:lang w:eastAsia="en-GB"/>
        </w:rPr>
        <w:t>Closing those pay gaps that cannot satisfactorily be explained on grounds other then one of the protected grounds.</w:t>
      </w:r>
    </w:p>
    <w:p w14:paraId="703F472E" w14:textId="77777777" w:rsidR="00D553D9" w:rsidRDefault="00D553D9" w:rsidP="00D553D9">
      <w:pPr>
        <w:pStyle w:val="3Copy-text"/>
        <w:rPr>
          <w:lang w:eastAsia="en-GB"/>
        </w:rPr>
      </w:pPr>
      <w:r>
        <w:rPr>
          <w:lang w:eastAsia="en-GB"/>
        </w:rPr>
        <w:t>Each year, the Assembly Commission conducts an equal pay audit to accompany the Annual Diversity Report and corresponding workforce and recruitment equality data. This process involves:</w:t>
      </w:r>
    </w:p>
    <w:p w14:paraId="469AA9EB" w14:textId="665C59B1" w:rsidR="00D553D9" w:rsidRDefault="00D553D9" w:rsidP="00D553D9">
      <w:pPr>
        <w:pStyle w:val="4Bulletlist"/>
        <w:rPr>
          <w:lang w:eastAsia="en-GB"/>
        </w:rPr>
      </w:pPr>
      <w:r>
        <w:rPr>
          <w:lang w:eastAsia="en-GB"/>
        </w:rPr>
        <w:t>Deciding the scope of the audit and identifying the data required;</w:t>
      </w:r>
    </w:p>
    <w:p w14:paraId="3675801A" w14:textId="47C22A9D" w:rsidR="00D553D9" w:rsidRDefault="00D553D9" w:rsidP="00D553D9">
      <w:pPr>
        <w:pStyle w:val="4Bulletlist"/>
        <w:rPr>
          <w:lang w:eastAsia="en-GB"/>
        </w:rPr>
      </w:pPr>
      <w:r>
        <w:rPr>
          <w:lang w:eastAsia="en-GB"/>
        </w:rPr>
        <w:lastRenderedPageBreak/>
        <w:t>Identifying where employees in protected groups are doing equal work;</w:t>
      </w:r>
    </w:p>
    <w:p w14:paraId="54C03638" w14:textId="66FA1BF0" w:rsidR="00D553D9" w:rsidRDefault="00D553D9" w:rsidP="00D553D9">
      <w:pPr>
        <w:pStyle w:val="4Bulletlist"/>
        <w:rPr>
          <w:lang w:eastAsia="en-GB"/>
        </w:rPr>
      </w:pPr>
      <w:r>
        <w:rPr>
          <w:lang w:eastAsia="en-GB"/>
        </w:rPr>
        <w:t>Collecting and comparing pay data to identify any significant equal pay gaps;</w:t>
      </w:r>
    </w:p>
    <w:p w14:paraId="6CECD4D6" w14:textId="62F25D9F" w:rsidR="00D553D9" w:rsidRDefault="00D553D9" w:rsidP="00D553D9">
      <w:pPr>
        <w:pStyle w:val="4Bulletlist"/>
        <w:rPr>
          <w:lang w:eastAsia="en-GB"/>
        </w:rPr>
      </w:pPr>
      <w:r>
        <w:rPr>
          <w:lang w:eastAsia="en-GB"/>
        </w:rPr>
        <w:t>Establishing the causes of any significant pay gaps and deciding whether these are free from discrimination; and</w:t>
      </w:r>
    </w:p>
    <w:p w14:paraId="3C9A3C12" w14:textId="705FC6D5" w:rsidR="00D553D9" w:rsidRDefault="00D553D9" w:rsidP="00D553D9">
      <w:pPr>
        <w:pStyle w:val="4Bulletlist"/>
        <w:rPr>
          <w:lang w:eastAsia="en-GB"/>
        </w:rPr>
      </w:pPr>
      <w:r>
        <w:rPr>
          <w:lang w:eastAsia="en-GB"/>
        </w:rPr>
        <w:t>Developing if required, an equal pay action plan and continuing to audit and monitor pay.</w:t>
      </w:r>
    </w:p>
    <w:p w14:paraId="07EE6B59" w14:textId="557A18B0" w:rsidR="00D553D9" w:rsidRDefault="00D553D9" w:rsidP="00D553D9">
      <w:pPr>
        <w:pStyle w:val="4Bulletlist"/>
        <w:numPr>
          <w:ilvl w:val="0"/>
          <w:numId w:val="0"/>
        </w:numPr>
        <w:ind w:left="567"/>
        <w:rPr>
          <w:lang w:eastAsia="en-GB"/>
        </w:rPr>
      </w:pPr>
      <w:r w:rsidRPr="00D553D9">
        <w:rPr>
          <w:lang w:eastAsia="en-GB"/>
        </w:rPr>
        <w:t>This report reviews available pay data, identifies and explains any differentials and any improvement actions required. This information can be viewed in tables one to thirteen in this report.</w:t>
      </w:r>
    </w:p>
    <w:p w14:paraId="74982B78" w14:textId="0CC8A331" w:rsidR="00C96009" w:rsidRDefault="00C96009">
      <w:pPr>
        <w:rPr>
          <w:rFonts w:eastAsia="Lucida Sans" w:cs="Times New Roman"/>
          <w:color w:val="414042"/>
          <w:kern w:val="24"/>
          <w:lang w:eastAsia="en-GB"/>
        </w:rPr>
      </w:pPr>
      <w:r>
        <w:rPr>
          <w:lang w:eastAsia="en-GB"/>
        </w:rPr>
        <w:br w:type="page"/>
      </w:r>
    </w:p>
    <w:p w14:paraId="54974C55" w14:textId="77777777" w:rsidR="00D553D9" w:rsidRDefault="00D553D9" w:rsidP="00D553D9">
      <w:pPr>
        <w:pStyle w:val="2Sub-headings"/>
        <w:rPr>
          <w:lang w:eastAsia="en-GB"/>
        </w:rPr>
      </w:pPr>
      <w:r>
        <w:rPr>
          <w:lang w:eastAsia="en-GB"/>
        </w:rPr>
        <w:lastRenderedPageBreak/>
        <w:t>Gender Pay Gap Reporting 2017</w:t>
      </w:r>
    </w:p>
    <w:p w14:paraId="4811FEBD" w14:textId="4B582D2C" w:rsidR="00D553D9" w:rsidRDefault="00D553D9" w:rsidP="00D553D9">
      <w:pPr>
        <w:pStyle w:val="3Copy-text"/>
        <w:rPr>
          <w:lang w:eastAsia="en-GB"/>
        </w:rPr>
      </w:pPr>
      <w:r>
        <w:rPr>
          <w:lang w:eastAsia="en-GB"/>
        </w:rPr>
        <w:t>This year, in addition to the equal pay review, we have provided data for new gender pay gap reporting purposes. As an employer, the Assembly Commission is now required by law to carry out Gender Pay Reporting under the Equality Act 2010 (Gender Pay Gap Information) Regulations 2017.</w:t>
      </w:r>
    </w:p>
    <w:p w14:paraId="698D7FDE" w14:textId="77777777" w:rsidR="00D553D9" w:rsidRPr="00D553D9" w:rsidRDefault="00D553D9" w:rsidP="00D553D9">
      <w:pPr>
        <w:pStyle w:val="3Highlight-box"/>
      </w:pPr>
      <w:r w:rsidRPr="00D553D9">
        <w:t>The gender pay gap is the difference in average pay between the men and women in your workforce.</w:t>
      </w:r>
    </w:p>
    <w:p w14:paraId="746F6826" w14:textId="5D0A466B" w:rsidR="00D553D9" w:rsidRPr="00D553D9" w:rsidRDefault="00D553D9" w:rsidP="00D553D9">
      <w:pPr>
        <w:pStyle w:val="3Highlight-box"/>
        <w:rPr>
          <w:rFonts w:ascii="Times New Roman" w:hAnsi="Times New Roman" w:cs="Times New Roman"/>
          <w:lang w:eastAsia="en-GB"/>
        </w:rPr>
      </w:pPr>
      <w:r w:rsidRPr="00D553D9">
        <w:t xml:space="preserve">It is different to </w:t>
      </w:r>
      <w:hyperlink r:id="rId31" w:history="1">
        <w:r w:rsidRPr="00D553D9">
          <w:rPr>
            <w:rStyle w:val="Hyperlink"/>
            <w:rFonts w:ascii="Montserrat Light" w:hAnsi="Montserrat Light"/>
          </w:rPr>
          <w:t>equal pay</w:t>
        </w:r>
      </w:hyperlink>
      <w:r w:rsidRPr="00D553D9">
        <w:t xml:space="preserve">, which means you must pay men and women the same for equal or similar work. </w:t>
      </w:r>
      <w:r>
        <w:rPr>
          <w:rStyle w:val="FootnoteReference"/>
        </w:rPr>
        <w:footnoteReference w:id="2"/>
      </w:r>
      <w:r>
        <w:rPr>
          <w:rFonts w:ascii="Times New Roman" w:hAnsi="Times New Roman" w:cs="Times New Roman"/>
          <w:lang w:eastAsia="en-GB"/>
        </w:rPr>
        <w:t xml:space="preserve"> </w:t>
      </w:r>
    </w:p>
    <w:p w14:paraId="03A7068D" w14:textId="77777777" w:rsidR="00D553D9" w:rsidRDefault="00D553D9" w:rsidP="00D553D9">
      <w:pPr>
        <w:pStyle w:val="3Copy-text"/>
        <w:rPr>
          <w:lang w:eastAsia="en-GB"/>
        </w:rPr>
      </w:pPr>
      <w:r>
        <w:rPr>
          <w:lang w:eastAsia="en-GB"/>
        </w:rPr>
        <w:t xml:space="preserve">This involves carrying out six calculations that show the difference between the average earnings of men and women in our organisation; it will not involve publishing individual employees’ data. We are required to publish the results on our own website and the UK Government’s Gender Pay Gap Reporting website. </w:t>
      </w:r>
    </w:p>
    <w:p w14:paraId="39B31056" w14:textId="77777777" w:rsidR="00D553D9" w:rsidRDefault="00D553D9" w:rsidP="00D553D9">
      <w:pPr>
        <w:pStyle w:val="3Copy-text"/>
        <w:rPr>
          <w:lang w:eastAsia="en-GB"/>
        </w:rPr>
      </w:pPr>
      <w:r>
        <w:rPr>
          <w:lang w:eastAsia="en-GB"/>
        </w:rPr>
        <w:t>In line with the Equality Act 2010 (Gender Pay Gap Information) Regulations 2017, employers need to publish six calculations showing:</w:t>
      </w:r>
    </w:p>
    <w:p w14:paraId="2586872A" w14:textId="0F9BB67F" w:rsidR="00D553D9" w:rsidRDefault="00D553D9" w:rsidP="00A03923">
      <w:pPr>
        <w:pStyle w:val="4Bulletlist"/>
      </w:pPr>
      <w:r>
        <w:t>mean gender pay gap in hourly pay;</w:t>
      </w:r>
    </w:p>
    <w:p w14:paraId="34FC1A85" w14:textId="2DFE7756" w:rsidR="00D553D9" w:rsidRDefault="00D553D9" w:rsidP="00A03923">
      <w:pPr>
        <w:pStyle w:val="4Bulletlist"/>
      </w:pPr>
      <w:r>
        <w:t>median gender pay gap in hourly pay;</w:t>
      </w:r>
    </w:p>
    <w:p w14:paraId="46922600" w14:textId="05B156C0" w:rsidR="00D553D9" w:rsidRDefault="00D553D9" w:rsidP="00A03923">
      <w:pPr>
        <w:pStyle w:val="4Bulletlist"/>
      </w:pPr>
      <w:r>
        <w:t>mean bonus gender pay gap;</w:t>
      </w:r>
    </w:p>
    <w:p w14:paraId="6FC8A4FD" w14:textId="2E69EE2B" w:rsidR="00D553D9" w:rsidRDefault="00D553D9" w:rsidP="00A03923">
      <w:pPr>
        <w:pStyle w:val="4Bulletlist"/>
      </w:pPr>
      <w:r>
        <w:t>median bonus gender pay gap;</w:t>
      </w:r>
    </w:p>
    <w:p w14:paraId="7F6E79B0" w14:textId="040835DB" w:rsidR="00D553D9" w:rsidRDefault="00D553D9" w:rsidP="00A03923">
      <w:pPr>
        <w:pStyle w:val="4Bulletlist"/>
      </w:pPr>
      <w:r>
        <w:t>proportion of males and females receiving a bonus payment; and the</w:t>
      </w:r>
    </w:p>
    <w:p w14:paraId="4C3F57D6" w14:textId="7491B917" w:rsidR="00D553D9" w:rsidRPr="00D553D9" w:rsidRDefault="00D553D9" w:rsidP="00A03923">
      <w:pPr>
        <w:pStyle w:val="4Bulletlist"/>
        <w:rPr>
          <w:rFonts w:ascii="Times New Roman" w:eastAsia="Calibri" w:hAnsi="Times New Roman"/>
        </w:rPr>
      </w:pPr>
      <w:r>
        <w:t xml:space="preserve">proportion of males and females in each pay quartile. </w:t>
      </w:r>
      <w:r w:rsidRPr="00D553D9">
        <w:rPr>
          <w:rFonts w:ascii="Calibri" w:eastAsia="Calibri" w:hAnsi="Calibri"/>
          <w:sz w:val="22"/>
          <w:szCs w:val="22"/>
          <w:vertAlign w:val="superscript"/>
        </w:rPr>
        <w:footnoteReference w:id="3"/>
      </w:r>
      <w:r w:rsidRPr="00D553D9">
        <w:rPr>
          <w:rFonts w:ascii="Times New Roman" w:eastAsia="Calibri" w:hAnsi="Times New Roman"/>
        </w:rPr>
        <w:t xml:space="preserve"> </w:t>
      </w:r>
    </w:p>
    <w:p w14:paraId="05753BF2" w14:textId="490263CB" w:rsidR="00D553D9" w:rsidRDefault="00D553D9" w:rsidP="00D553D9">
      <w:pPr>
        <w:pStyle w:val="3Copy-text"/>
        <w:rPr>
          <w:lang w:eastAsia="en-GB"/>
        </w:rPr>
      </w:pPr>
      <w:r>
        <w:rPr>
          <w:lang w:eastAsia="en-GB"/>
        </w:rPr>
        <w:lastRenderedPageBreak/>
        <w:t xml:space="preserve">This data can be viewed in table </w:t>
      </w:r>
      <w:r w:rsidR="00C96009">
        <w:rPr>
          <w:lang w:eastAsia="en-GB"/>
        </w:rPr>
        <w:t>29</w:t>
      </w:r>
      <w:r>
        <w:rPr>
          <w:lang w:eastAsia="en-GB"/>
        </w:rPr>
        <w:t xml:space="preserve"> of this report.</w:t>
      </w:r>
    </w:p>
    <w:p w14:paraId="2257450B" w14:textId="77777777" w:rsidR="00D553D9" w:rsidRDefault="00D553D9" w:rsidP="00C96009">
      <w:pPr>
        <w:pStyle w:val="2Sub-section-heading"/>
        <w:rPr>
          <w:lang w:eastAsia="en-GB"/>
        </w:rPr>
      </w:pPr>
      <w:r>
        <w:rPr>
          <w:lang w:eastAsia="en-GB"/>
        </w:rPr>
        <w:t>Context</w:t>
      </w:r>
    </w:p>
    <w:p w14:paraId="09008334" w14:textId="77777777" w:rsidR="00D553D9" w:rsidRDefault="00D553D9" w:rsidP="00D553D9">
      <w:pPr>
        <w:pStyle w:val="3Copy-text"/>
        <w:rPr>
          <w:lang w:eastAsia="en-GB"/>
        </w:rPr>
      </w:pPr>
      <w:r>
        <w:rPr>
          <w:lang w:eastAsia="en-GB"/>
        </w:rPr>
        <w:t xml:space="preserve">The data used in this report is as of 31 March 2017. The employee headcount as of this date was 462 members of staff which includes permanent and temporary staff. Secondments and staff currently on career breaks are not included [of which there are four members of staff].  </w:t>
      </w:r>
    </w:p>
    <w:p w14:paraId="73B60AF3" w14:textId="2276C3D8" w:rsidR="00D553D9" w:rsidRDefault="00D553D9">
      <w:pPr>
        <w:spacing w:before="0" w:after="160" w:line="259" w:lineRule="auto"/>
        <w:rPr>
          <w:color w:val="414042"/>
          <w:kern w:val="24"/>
          <w:lang w:eastAsia="en-GB"/>
        </w:rPr>
      </w:pPr>
      <w:r>
        <w:rPr>
          <w:lang w:eastAsia="en-GB"/>
        </w:rPr>
        <w:br w:type="page"/>
      </w:r>
    </w:p>
    <w:p w14:paraId="29CEFACC" w14:textId="77777777" w:rsidR="00D553D9" w:rsidRDefault="00D553D9" w:rsidP="00D553D9">
      <w:pPr>
        <w:pStyle w:val="2Sub-headings"/>
        <w:rPr>
          <w:lang w:eastAsia="en-GB"/>
        </w:rPr>
      </w:pPr>
      <w:r>
        <w:rPr>
          <w:lang w:eastAsia="en-GB"/>
        </w:rPr>
        <w:lastRenderedPageBreak/>
        <w:t>Glossary</w:t>
      </w:r>
    </w:p>
    <w:p w14:paraId="04783AF5" w14:textId="77777777" w:rsidR="00D553D9" w:rsidRDefault="00D553D9" w:rsidP="00D553D9">
      <w:pPr>
        <w:pStyle w:val="3Copy-text"/>
        <w:rPr>
          <w:lang w:eastAsia="en-GB"/>
        </w:rPr>
      </w:pPr>
      <w:r>
        <w:rPr>
          <w:lang w:eastAsia="en-GB"/>
        </w:rPr>
        <w:t>Mean and median</w:t>
      </w:r>
    </w:p>
    <w:p w14:paraId="137A6A20" w14:textId="7EA3BC1D" w:rsidR="00D553D9" w:rsidRDefault="00D553D9" w:rsidP="00C96009">
      <w:pPr>
        <w:pStyle w:val="4Bulletlist"/>
      </w:pPr>
      <w:r>
        <w:t>Mean is the average hourly rate of pay, calculated by adding the hourly pay rate for employees then dividing by the number of employees.</w:t>
      </w:r>
    </w:p>
    <w:p w14:paraId="4C48C13C" w14:textId="53839F87" w:rsidR="00D553D9" w:rsidRPr="00D553D9" w:rsidRDefault="00D553D9" w:rsidP="00C96009">
      <w:pPr>
        <w:pStyle w:val="4Bulletlist"/>
        <w:rPr>
          <w:rFonts w:ascii="Times New Roman" w:hAnsi="Times New Roman"/>
        </w:rPr>
      </w:pPr>
      <w:r>
        <w:t>Median is the middle hourly pay rate, when you arrange your pay rates in order from lowest to highest</w:t>
      </w:r>
      <w:r>
        <w:rPr>
          <w:rStyle w:val="FootnoteReference"/>
          <w:rFonts w:eastAsia="Cynulliad Sans"/>
        </w:rPr>
        <w:footnoteReference w:id="4"/>
      </w:r>
      <w:r>
        <w:rPr>
          <w:rFonts w:ascii="Times New Roman" w:hAnsi="Times New Roman"/>
        </w:rPr>
        <w:t xml:space="preserve"> </w:t>
      </w:r>
    </w:p>
    <w:p w14:paraId="1E2A0054" w14:textId="77777777" w:rsidR="00D553D9" w:rsidRDefault="00D553D9" w:rsidP="00D553D9">
      <w:pPr>
        <w:pStyle w:val="2Sub-headings"/>
      </w:pPr>
      <w:r>
        <w:t>Pay Grades</w:t>
      </w:r>
    </w:p>
    <w:p w14:paraId="4C5B4EB6" w14:textId="687C9C68" w:rsidR="00D553D9" w:rsidRDefault="00D553D9" w:rsidP="00D553D9">
      <w:pPr>
        <w:pStyle w:val="3Copy-text"/>
        <w:rPr>
          <w:lang w:eastAsia="en-GB"/>
        </w:rPr>
      </w:pPr>
      <w:r>
        <w:rPr>
          <w:lang w:eastAsia="en-GB"/>
        </w:rPr>
        <w:t xml:space="preserve">We have pay grades with relatively short pay scales which helps to minimise the likelihood of pay discrimination occurring. An overview by grade is set out in table 1. A breakdown of pay scales is available on the </w:t>
      </w:r>
      <w:hyperlink r:id="rId32" w:history="1">
        <w:r w:rsidRPr="00D553D9">
          <w:rPr>
            <w:rStyle w:val="Hyperlink"/>
            <w:rFonts w:ascii="Montserrat Light" w:hAnsi="Montserrat Light"/>
            <w:lang w:eastAsia="en-GB"/>
          </w:rPr>
          <w:t>Assembly’s website.</w:t>
        </w:r>
      </w:hyperlink>
      <w:r>
        <w:rPr>
          <w:lang w:eastAsia="en-GB"/>
        </w:rPr>
        <w:t xml:space="preserve"> </w:t>
      </w:r>
    </w:p>
    <w:p w14:paraId="15768E63" w14:textId="108D8E70" w:rsidR="00D553D9" w:rsidRDefault="00D553D9" w:rsidP="00D553D9">
      <w:pPr>
        <w:pStyle w:val="3Copy-text"/>
        <w:rPr>
          <w:lang w:eastAsia="en-GB"/>
        </w:rPr>
      </w:pPr>
      <w:r>
        <w:rPr>
          <w:lang w:eastAsia="en-GB"/>
        </w:rPr>
        <w:t>All pay information is per annum unless otherwise specified.</w:t>
      </w:r>
    </w:p>
    <w:p w14:paraId="219E2592" w14:textId="77777777" w:rsidR="00D553D9" w:rsidRDefault="00D553D9">
      <w:pPr>
        <w:spacing w:before="0" w:after="160" w:line="259" w:lineRule="auto"/>
        <w:rPr>
          <w:color w:val="414042"/>
          <w:kern w:val="24"/>
          <w:lang w:eastAsia="en-GB"/>
        </w:rPr>
      </w:pPr>
      <w:r>
        <w:rPr>
          <w:lang w:eastAsia="en-GB"/>
        </w:rPr>
        <w:br w:type="page"/>
      </w:r>
    </w:p>
    <w:p w14:paraId="57FC5E8C" w14:textId="0FB24003" w:rsidR="00C96009" w:rsidRDefault="00C96009" w:rsidP="00C96009">
      <w:pPr>
        <w:pStyle w:val="Caption"/>
        <w:keepNext/>
      </w:pPr>
      <w:r>
        <w:lastRenderedPageBreak/>
        <w:t xml:space="preserve">Table </w:t>
      </w:r>
      <w:fldSimple w:instr=" SEQ Table \* ARABIC ">
        <w:r w:rsidR="00332158">
          <w:rPr>
            <w:noProof/>
          </w:rPr>
          <w:t>17</w:t>
        </w:r>
      </w:fldSimple>
      <w:r>
        <w:t xml:space="preserve">: </w:t>
      </w:r>
      <w:r w:rsidRPr="00C96009">
        <w:t>Pay Scale by Grade (effective as of 01/10/16)</w:t>
      </w:r>
    </w:p>
    <w:tbl>
      <w:tblPr>
        <w:tblStyle w:val="GridTable4-Accent4"/>
        <w:tblW w:w="5000" w:type="pct"/>
        <w:tblLook w:val="04A0" w:firstRow="1" w:lastRow="0" w:firstColumn="1" w:lastColumn="0" w:noHBand="0" w:noVBand="1"/>
      </w:tblPr>
      <w:tblGrid>
        <w:gridCol w:w="3225"/>
        <w:gridCol w:w="4891"/>
        <w:gridCol w:w="6670"/>
      </w:tblGrid>
      <w:tr w:rsidR="00D553D9" w:rsidRPr="00FA67FD" w14:paraId="6D61CF5E" w14:textId="77777777" w:rsidTr="00C96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hideMark/>
          </w:tcPr>
          <w:p w14:paraId="608E7DA7" w14:textId="77777777" w:rsidR="00D553D9" w:rsidRPr="00FA67FD" w:rsidRDefault="00D553D9" w:rsidP="00A03923">
            <w:pPr>
              <w:spacing w:line="288" w:lineRule="auto"/>
              <w:rPr>
                <w:rFonts w:eastAsia="Cynulliad Sans" w:cs="Times New Roman"/>
                <w:sz w:val="22"/>
                <w:szCs w:val="22"/>
              </w:rPr>
            </w:pPr>
            <w:r w:rsidRPr="00FA67FD">
              <w:rPr>
                <w:rFonts w:eastAsia="Cynulliad Sans" w:cs="Times New Roman"/>
                <w:sz w:val="22"/>
                <w:szCs w:val="22"/>
              </w:rPr>
              <w:t>Grade</w:t>
            </w:r>
          </w:p>
        </w:tc>
        <w:tc>
          <w:tcPr>
            <w:tcW w:w="4844" w:type="dxa"/>
            <w:hideMark/>
          </w:tcPr>
          <w:p w14:paraId="5577521F" w14:textId="77777777" w:rsidR="00D553D9" w:rsidRPr="00FA67FD" w:rsidRDefault="00D553D9"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Minimum</w:t>
            </w:r>
          </w:p>
        </w:tc>
        <w:tc>
          <w:tcPr>
            <w:tcW w:w="6605" w:type="dxa"/>
            <w:hideMark/>
          </w:tcPr>
          <w:p w14:paraId="5D966306" w14:textId="77777777" w:rsidR="00D553D9" w:rsidRPr="00FA67FD" w:rsidRDefault="00D553D9"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Maximum</w:t>
            </w:r>
          </w:p>
        </w:tc>
      </w:tr>
      <w:tr w:rsidR="00D553D9" w:rsidRPr="00FA67FD" w14:paraId="71559198" w14:textId="77777777" w:rsidTr="00C9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hideMark/>
          </w:tcPr>
          <w:p w14:paraId="5C5D4275" w14:textId="77777777" w:rsidR="00D553D9" w:rsidRPr="00FA67FD" w:rsidRDefault="00D553D9" w:rsidP="00A03923">
            <w:pPr>
              <w:spacing w:line="288" w:lineRule="auto"/>
              <w:rPr>
                <w:rFonts w:eastAsia="Cynulliad Sans" w:cs="Times New Roman"/>
                <w:sz w:val="22"/>
                <w:szCs w:val="22"/>
              </w:rPr>
            </w:pPr>
            <w:r w:rsidRPr="00FA67FD">
              <w:rPr>
                <w:rFonts w:eastAsia="Cynulliad Sans" w:cs="Times New Roman"/>
                <w:sz w:val="22"/>
                <w:szCs w:val="22"/>
              </w:rPr>
              <w:t>Apprentice</w:t>
            </w:r>
          </w:p>
        </w:tc>
        <w:tc>
          <w:tcPr>
            <w:tcW w:w="4844" w:type="dxa"/>
            <w:hideMark/>
          </w:tcPr>
          <w:p w14:paraId="00CB5F58" w14:textId="77777777" w:rsidR="00D553D9" w:rsidRPr="00FA67FD" w:rsidRDefault="00D553D9"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£16,258</w:t>
            </w:r>
          </w:p>
        </w:tc>
        <w:tc>
          <w:tcPr>
            <w:tcW w:w="6605" w:type="dxa"/>
            <w:hideMark/>
          </w:tcPr>
          <w:p w14:paraId="15156878" w14:textId="77777777" w:rsidR="00D553D9" w:rsidRPr="00FA67FD" w:rsidRDefault="00D553D9"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£16,258</w:t>
            </w:r>
          </w:p>
        </w:tc>
      </w:tr>
      <w:tr w:rsidR="00D553D9" w:rsidRPr="00FA67FD" w14:paraId="4114BEF5" w14:textId="77777777" w:rsidTr="00C96009">
        <w:tc>
          <w:tcPr>
            <w:cnfStyle w:val="001000000000" w:firstRow="0" w:lastRow="0" w:firstColumn="1" w:lastColumn="0" w:oddVBand="0" w:evenVBand="0" w:oddHBand="0" w:evenHBand="0" w:firstRowFirstColumn="0" w:firstRowLastColumn="0" w:lastRowFirstColumn="0" w:lastRowLastColumn="0"/>
            <w:tcW w:w="3194" w:type="dxa"/>
            <w:hideMark/>
          </w:tcPr>
          <w:p w14:paraId="7ABF5CEE" w14:textId="77777777" w:rsidR="00D553D9" w:rsidRPr="00FA67FD" w:rsidRDefault="00D553D9" w:rsidP="00A03923">
            <w:pPr>
              <w:spacing w:line="288" w:lineRule="auto"/>
              <w:rPr>
                <w:rFonts w:eastAsia="Cynulliad Sans" w:cs="Times New Roman"/>
                <w:sz w:val="22"/>
                <w:szCs w:val="22"/>
              </w:rPr>
            </w:pPr>
            <w:r w:rsidRPr="00FA67FD">
              <w:rPr>
                <w:rFonts w:eastAsia="Cynulliad Sans" w:cs="Times New Roman"/>
                <w:sz w:val="22"/>
                <w:szCs w:val="22"/>
              </w:rPr>
              <w:t>Team Support</w:t>
            </w:r>
          </w:p>
        </w:tc>
        <w:tc>
          <w:tcPr>
            <w:tcW w:w="4844" w:type="dxa"/>
            <w:hideMark/>
          </w:tcPr>
          <w:p w14:paraId="1A5CFD7D" w14:textId="77777777" w:rsidR="00D553D9" w:rsidRPr="00FA67FD" w:rsidRDefault="00D553D9"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£17,584</w:t>
            </w:r>
          </w:p>
        </w:tc>
        <w:tc>
          <w:tcPr>
            <w:tcW w:w="6605" w:type="dxa"/>
            <w:hideMark/>
          </w:tcPr>
          <w:p w14:paraId="7C7574F4" w14:textId="77777777" w:rsidR="00D553D9" w:rsidRPr="00FA67FD" w:rsidRDefault="00D553D9"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£22,067</w:t>
            </w:r>
          </w:p>
        </w:tc>
      </w:tr>
      <w:tr w:rsidR="00D553D9" w:rsidRPr="00FA67FD" w14:paraId="63690E42" w14:textId="77777777" w:rsidTr="00C9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hideMark/>
          </w:tcPr>
          <w:p w14:paraId="53EEA2D5" w14:textId="77777777" w:rsidR="00D553D9" w:rsidRPr="00FA67FD" w:rsidRDefault="00D553D9" w:rsidP="00A03923">
            <w:pPr>
              <w:spacing w:line="288" w:lineRule="auto"/>
              <w:rPr>
                <w:rFonts w:eastAsia="Cynulliad Sans" w:cs="Times New Roman"/>
                <w:sz w:val="22"/>
                <w:szCs w:val="22"/>
              </w:rPr>
            </w:pPr>
            <w:r w:rsidRPr="00FA67FD">
              <w:rPr>
                <w:rFonts w:eastAsia="Cynulliad Sans" w:cs="Times New Roman"/>
                <w:sz w:val="22"/>
                <w:szCs w:val="22"/>
              </w:rPr>
              <w:t>Management 3 (M-3)</w:t>
            </w:r>
          </w:p>
        </w:tc>
        <w:tc>
          <w:tcPr>
            <w:tcW w:w="4844" w:type="dxa"/>
            <w:hideMark/>
          </w:tcPr>
          <w:p w14:paraId="04E99974" w14:textId="77777777" w:rsidR="00D553D9" w:rsidRPr="00FA67FD" w:rsidRDefault="00D553D9"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£20,791</w:t>
            </w:r>
          </w:p>
        </w:tc>
        <w:tc>
          <w:tcPr>
            <w:tcW w:w="6605" w:type="dxa"/>
            <w:hideMark/>
          </w:tcPr>
          <w:p w14:paraId="10B0A2FA" w14:textId="77777777" w:rsidR="00D553D9" w:rsidRPr="00FA67FD" w:rsidRDefault="00D553D9"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£27,806</w:t>
            </w:r>
          </w:p>
        </w:tc>
      </w:tr>
      <w:tr w:rsidR="00D553D9" w:rsidRPr="00FA67FD" w14:paraId="4ADB48D2" w14:textId="77777777" w:rsidTr="00C96009">
        <w:trPr>
          <w:trHeight w:val="218"/>
        </w:trPr>
        <w:tc>
          <w:tcPr>
            <w:cnfStyle w:val="001000000000" w:firstRow="0" w:lastRow="0" w:firstColumn="1" w:lastColumn="0" w:oddVBand="0" w:evenVBand="0" w:oddHBand="0" w:evenHBand="0" w:firstRowFirstColumn="0" w:firstRowLastColumn="0" w:lastRowFirstColumn="0" w:lastRowLastColumn="0"/>
            <w:tcW w:w="3194" w:type="dxa"/>
            <w:hideMark/>
          </w:tcPr>
          <w:p w14:paraId="5054F815" w14:textId="77777777" w:rsidR="00D553D9" w:rsidRPr="00FA67FD" w:rsidRDefault="00D553D9" w:rsidP="00A03923">
            <w:pPr>
              <w:spacing w:line="288" w:lineRule="auto"/>
              <w:rPr>
                <w:rFonts w:eastAsia="Cynulliad Sans" w:cs="Times New Roman"/>
                <w:sz w:val="22"/>
                <w:szCs w:val="22"/>
              </w:rPr>
            </w:pPr>
            <w:r w:rsidRPr="00FA67FD">
              <w:rPr>
                <w:rFonts w:eastAsia="Cynulliad Sans" w:cs="Times New Roman"/>
                <w:sz w:val="22"/>
                <w:szCs w:val="22"/>
              </w:rPr>
              <w:t>Management 2 (M-2)</w:t>
            </w:r>
          </w:p>
        </w:tc>
        <w:tc>
          <w:tcPr>
            <w:tcW w:w="4844" w:type="dxa"/>
            <w:hideMark/>
          </w:tcPr>
          <w:p w14:paraId="66BE0C00" w14:textId="77777777" w:rsidR="00D553D9" w:rsidRPr="00FA67FD" w:rsidRDefault="00D553D9"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£26,584</w:t>
            </w:r>
          </w:p>
        </w:tc>
        <w:tc>
          <w:tcPr>
            <w:tcW w:w="6605" w:type="dxa"/>
            <w:hideMark/>
          </w:tcPr>
          <w:p w14:paraId="23DF5C0E" w14:textId="77777777" w:rsidR="00D553D9" w:rsidRPr="00FA67FD" w:rsidRDefault="00D553D9"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£36,453</w:t>
            </w:r>
          </w:p>
        </w:tc>
      </w:tr>
      <w:tr w:rsidR="00D553D9" w:rsidRPr="00FA67FD" w14:paraId="6965FB68" w14:textId="77777777" w:rsidTr="00C9600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194" w:type="dxa"/>
            <w:hideMark/>
          </w:tcPr>
          <w:p w14:paraId="598581EB" w14:textId="77777777" w:rsidR="00D553D9" w:rsidRPr="00FA67FD" w:rsidRDefault="00D553D9" w:rsidP="00A03923">
            <w:pPr>
              <w:spacing w:line="288" w:lineRule="auto"/>
              <w:rPr>
                <w:rFonts w:eastAsia="Cynulliad Sans" w:cs="Times New Roman"/>
                <w:sz w:val="22"/>
                <w:szCs w:val="22"/>
              </w:rPr>
            </w:pPr>
            <w:r w:rsidRPr="00FA67FD">
              <w:rPr>
                <w:rFonts w:eastAsia="Cynulliad Sans" w:cs="Times New Roman"/>
                <w:sz w:val="22"/>
                <w:szCs w:val="22"/>
              </w:rPr>
              <w:t>Management 1 (M-1)</w:t>
            </w:r>
          </w:p>
        </w:tc>
        <w:tc>
          <w:tcPr>
            <w:tcW w:w="4844" w:type="dxa"/>
            <w:hideMark/>
          </w:tcPr>
          <w:p w14:paraId="71D60835" w14:textId="77777777" w:rsidR="00D553D9" w:rsidRPr="00FA67FD" w:rsidRDefault="00D553D9"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£35,169</w:t>
            </w:r>
          </w:p>
        </w:tc>
        <w:tc>
          <w:tcPr>
            <w:tcW w:w="6605" w:type="dxa"/>
            <w:hideMark/>
          </w:tcPr>
          <w:p w14:paraId="3B05D26A" w14:textId="77777777" w:rsidR="00D553D9" w:rsidRPr="00FA67FD" w:rsidRDefault="00D553D9"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£46,116</w:t>
            </w:r>
          </w:p>
        </w:tc>
      </w:tr>
      <w:tr w:rsidR="00D553D9" w:rsidRPr="00FA67FD" w14:paraId="411278A2" w14:textId="77777777" w:rsidTr="00C96009">
        <w:trPr>
          <w:trHeight w:val="218"/>
        </w:trPr>
        <w:tc>
          <w:tcPr>
            <w:cnfStyle w:val="001000000000" w:firstRow="0" w:lastRow="0" w:firstColumn="1" w:lastColumn="0" w:oddVBand="0" w:evenVBand="0" w:oddHBand="0" w:evenHBand="0" w:firstRowFirstColumn="0" w:firstRowLastColumn="0" w:lastRowFirstColumn="0" w:lastRowLastColumn="0"/>
            <w:tcW w:w="3194" w:type="dxa"/>
            <w:hideMark/>
          </w:tcPr>
          <w:p w14:paraId="086AA8E4" w14:textId="77777777" w:rsidR="00D553D9" w:rsidRPr="00FA67FD" w:rsidRDefault="00D553D9" w:rsidP="00A03923">
            <w:pPr>
              <w:spacing w:line="288" w:lineRule="auto"/>
              <w:rPr>
                <w:rFonts w:eastAsia="Cynulliad Sans" w:cs="Times New Roman"/>
                <w:sz w:val="22"/>
                <w:szCs w:val="22"/>
              </w:rPr>
            </w:pPr>
            <w:r w:rsidRPr="00FA67FD">
              <w:rPr>
                <w:rFonts w:eastAsia="Cynulliad Sans" w:cs="Times New Roman"/>
                <w:sz w:val="22"/>
                <w:szCs w:val="22"/>
              </w:rPr>
              <w:t>Executive 2 (E-2)</w:t>
            </w:r>
          </w:p>
        </w:tc>
        <w:tc>
          <w:tcPr>
            <w:tcW w:w="4844" w:type="dxa"/>
            <w:hideMark/>
          </w:tcPr>
          <w:p w14:paraId="7EDDD9B6" w14:textId="77777777" w:rsidR="00D553D9" w:rsidRPr="00FA67FD" w:rsidRDefault="00D553D9"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£45,513</w:t>
            </w:r>
          </w:p>
        </w:tc>
        <w:tc>
          <w:tcPr>
            <w:tcW w:w="6605" w:type="dxa"/>
            <w:hideMark/>
          </w:tcPr>
          <w:p w14:paraId="1FF625BD" w14:textId="77777777" w:rsidR="00D553D9" w:rsidRPr="00FA67FD" w:rsidRDefault="00D553D9"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£59,728</w:t>
            </w:r>
          </w:p>
        </w:tc>
      </w:tr>
      <w:tr w:rsidR="00D553D9" w:rsidRPr="00FA67FD" w14:paraId="70CA5A85" w14:textId="77777777" w:rsidTr="00C9600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194" w:type="dxa"/>
            <w:hideMark/>
          </w:tcPr>
          <w:p w14:paraId="7CAAC8CC" w14:textId="77777777" w:rsidR="00D553D9" w:rsidRPr="00FA67FD" w:rsidRDefault="00D553D9" w:rsidP="00A03923">
            <w:pPr>
              <w:spacing w:line="288" w:lineRule="auto"/>
              <w:rPr>
                <w:rFonts w:eastAsia="Cynulliad Sans" w:cs="Times New Roman"/>
                <w:sz w:val="22"/>
                <w:szCs w:val="22"/>
              </w:rPr>
            </w:pPr>
            <w:r w:rsidRPr="00FA67FD">
              <w:rPr>
                <w:rFonts w:eastAsia="Cynulliad Sans" w:cs="Times New Roman"/>
                <w:sz w:val="22"/>
                <w:szCs w:val="22"/>
              </w:rPr>
              <w:t>Executive 1 (E-1)</w:t>
            </w:r>
          </w:p>
        </w:tc>
        <w:tc>
          <w:tcPr>
            <w:tcW w:w="4844" w:type="dxa"/>
            <w:hideMark/>
          </w:tcPr>
          <w:p w14:paraId="3EE6342B" w14:textId="77777777" w:rsidR="00D553D9" w:rsidRPr="00FA67FD" w:rsidRDefault="00D553D9"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£56,374</w:t>
            </w:r>
          </w:p>
        </w:tc>
        <w:tc>
          <w:tcPr>
            <w:tcW w:w="6605" w:type="dxa"/>
            <w:hideMark/>
          </w:tcPr>
          <w:p w14:paraId="206C2B6B" w14:textId="77777777" w:rsidR="00D553D9" w:rsidRPr="00FA67FD" w:rsidRDefault="00D553D9"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£73,343</w:t>
            </w:r>
          </w:p>
        </w:tc>
      </w:tr>
      <w:tr w:rsidR="00D553D9" w:rsidRPr="00FA67FD" w14:paraId="3546DA57" w14:textId="77777777" w:rsidTr="00C96009">
        <w:trPr>
          <w:trHeight w:val="218"/>
        </w:trPr>
        <w:tc>
          <w:tcPr>
            <w:cnfStyle w:val="001000000000" w:firstRow="0" w:lastRow="0" w:firstColumn="1" w:lastColumn="0" w:oddVBand="0" w:evenVBand="0" w:oddHBand="0" w:evenHBand="0" w:firstRowFirstColumn="0" w:firstRowLastColumn="0" w:lastRowFirstColumn="0" w:lastRowLastColumn="0"/>
            <w:tcW w:w="3194" w:type="dxa"/>
            <w:hideMark/>
          </w:tcPr>
          <w:p w14:paraId="1DFF986E" w14:textId="77777777" w:rsidR="00D553D9" w:rsidRPr="00FA67FD" w:rsidRDefault="00D553D9" w:rsidP="00A03923">
            <w:pPr>
              <w:spacing w:line="288" w:lineRule="auto"/>
              <w:rPr>
                <w:rFonts w:eastAsia="Cynulliad Sans" w:cs="Times New Roman"/>
                <w:sz w:val="22"/>
                <w:szCs w:val="22"/>
              </w:rPr>
            </w:pPr>
            <w:r w:rsidRPr="00FA67FD">
              <w:rPr>
                <w:rFonts w:eastAsia="Cynulliad Sans" w:cs="Times New Roman"/>
                <w:sz w:val="22"/>
                <w:szCs w:val="22"/>
              </w:rPr>
              <w:t>Senior Staff (S-3)</w:t>
            </w:r>
          </w:p>
        </w:tc>
        <w:tc>
          <w:tcPr>
            <w:tcW w:w="4844" w:type="dxa"/>
            <w:hideMark/>
          </w:tcPr>
          <w:p w14:paraId="71876E07" w14:textId="77777777" w:rsidR="00D553D9" w:rsidRPr="00FA67FD" w:rsidRDefault="00D553D9"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£76,923</w:t>
            </w:r>
          </w:p>
        </w:tc>
        <w:tc>
          <w:tcPr>
            <w:tcW w:w="6605" w:type="dxa"/>
            <w:hideMark/>
          </w:tcPr>
          <w:p w14:paraId="7394F9FA" w14:textId="77777777" w:rsidR="00D553D9" w:rsidRPr="00FA67FD" w:rsidRDefault="00D553D9"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£98,514</w:t>
            </w:r>
          </w:p>
        </w:tc>
      </w:tr>
      <w:tr w:rsidR="00D553D9" w:rsidRPr="00FA67FD" w14:paraId="22FCEE76" w14:textId="77777777" w:rsidTr="00C9600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194" w:type="dxa"/>
            <w:hideMark/>
          </w:tcPr>
          <w:p w14:paraId="7A331272" w14:textId="77777777" w:rsidR="00D553D9" w:rsidRPr="00FA67FD" w:rsidRDefault="00D553D9" w:rsidP="00A03923">
            <w:pPr>
              <w:spacing w:line="288" w:lineRule="auto"/>
              <w:rPr>
                <w:rFonts w:eastAsia="Cynulliad Sans" w:cs="Times New Roman"/>
                <w:sz w:val="22"/>
                <w:szCs w:val="22"/>
              </w:rPr>
            </w:pPr>
            <w:r w:rsidRPr="00FA67FD">
              <w:rPr>
                <w:rFonts w:eastAsia="Cynulliad Sans" w:cs="Times New Roman"/>
                <w:sz w:val="22"/>
                <w:szCs w:val="22"/>
              </w:rPr>
              <w:t>Senior Staff (S-2)</w:t>
            </w:r>
          </w:p>
        </w:tc>
        <w:tc>
          <w:tcPr>
            <w:tcW w:w="4844" w:type="dxa"/>
            <w:hideMark/>
          </w:tcPr>
          <w:p w14:paraId="14578D43" w14:textId="77777777" w:rsidR="00D553D9" w:rsidRPr="00FA67FD" w:rsidRDefault="00D553D9"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£96,361</w:t>
            </w:r>
          </w:p>
        </w:tc>
        <w:tc>
          <w:tcPr>
            <w:tcW w:w="6605" w:type="dxa"/>
            <w:hideMark/>
          </w:tcPr>
          <w:p w14:paraId="7DD301E7" w14:textId="77777777" w:rsidR="00D553D9" w:rsidRPr="00FA67FD" w:rsidRDefault="00D553D9"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£123,410</w:t>
            </w:r>
          </w:p>
        </w:tc>
      </w:tr>
      <w:tr w:rsidR="00D553D9" w:rsidRPr="00FA67FD" w14:paraId="7BB13F0C" w14:textId="77777777" w:rsidTr="00C96009">
        <w:trPr>
          <w:trHeight w:val="218"/>
        </w:trPr>
        <w:tc>
          <w:tcPr>
            <w:cnfStyle w:val="001000000000" w:firstRow="0" w:lastRow="0" w:firstColumn="1" w:lastColumn="0" w:oddVBand="0" w:evenVBand="0" w:oddHBand="0" w:evenHBand="0" w:firstRowFirstColumn="0" w:firstRowLastColumn="0" w:lastRowFirstColumn="0" w:lastRowLastColumn="0"/>
            <w:tcW w:w="3194" w:type="dxa"/>
            <w:hideMark/>
          </w:tcPr>
          <w:p w14:paraId="5C54DBF0" w14:textId="77777777" w:rsidR="00D553D9" w:rsidRPr="00FA67FD" w:rsidRDefault="00D553D9" w:rsidP="00A03923">
            <w:pPr>
              <w:spacing w:line="288" w:lineRule="auto"/>
              <w:rPr>
                <w:rFonts w:eastAsia="Cynulliad Sans" w:cs="Times New Roman"/>
                <w:sz w:val="22"/>
                <w:szCs w:val="22"/>
              </w:rPr>
            </w:pPr>
            <w:r w:rsidRPr="00FA67FD">
              <w:rPr>
                <w:rFonts w:eastAsia="Cynulliad Sans" w:cs="Times New Roman"/>
                <w:sz w:val="22"/>
                <w:szCs w:val="22"/>
              </w:rPr>
              <w:t>Senior Staff (S-1)</w:t>
            </w:r>
          </w:p>
        </w:tc>
        <w:tc>
          <w:tcPr>
            <w:tcW w:w="4844" w:type="dxa"/>
            <w:hideMark/>
          </w:tcPr>
          <w:p w14:paraId="3E86736F" w14:textId="77777777" w:rsidR="00D553D9" w:rsidRPr="00FA67FD" w:rsidRDefault="00D553D9"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£123,625</w:t>
            </w:r>
          </w:p>
        </w:tc>
        <w:tc>
          <w:tcPr>
            <w:tcW w:w="6605" w:type="dxa"/>
            <w:hideMark/>
          </w:tcPr>
          <w:p w14:paraId="47073CB8" w14:textId="77777777" w:rsidR="00D553D9" w:rsidRPr="00FA67FD" w:rsidRDefault="00D553D9"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£151,887</w:t>
            </w:r>
          </w:p>
        </w:tc>
      </w:tr>
    </w:tbl>
    <w:p w14:paraId="0C1B0E06" w14:textId="77777777" w:rsidR="00FA67FD" w:rsidRDefault="00FA67FD" w:rsidP="00FA67FD">
      <w:pPr>
        <w:pStyle w:val="3Copy-text"/>
        <w:rPr>
          <w:lang w:eastAsia="en-GB"/>
        </w:rPr>
      </w:pPr>
      <w:r>
        <w:rPr>
          <w:lang w:eastAsia="en-GB"/>
        </w:rPr>
        <w:t>Pay terms are as follows:</w:t>
      </w:r>
    </w:p>
    <w:p w14:paraId="04F5B6ED" w14:textId="0BAE7EA3" w:rsidR="00FA67FD" w:rsidRDefault="00FA67FD" w:rsidP="00FA67FD">
      <w:pPr>
        <w:pStyle w:val="4Bulletlist"/>
        <w:rPr>
          <w:lang w:eastAsia="en-GB"/>
        </w:rPr>
      </w:pPr>
      <w:r>
        <w:rPr>
          <w:lang w:eastAsia="en-GB"/>
        </w:rPr>
        <w:t>Our organisation makes minimal use of allowances, which helps to minimise potential for pay differentials;</w:t>
      </w:r>
    </w:p>
    <w:p w14:paraId="61776528" w14:textId="7D5F0F77" w:rsidR="00FA67FD" w:rsidRDefault="00FA67FD" w:rsidP="00FA67FD">
      <w:pPr>
        <w:pStyle w:val="4Bulletlist"/>
        <w:rPr>
          <w:lang w:eastAsia="en-GB"/>
        </w:rPr>
      </w:pPr>
      <w:r>
        <w:rPr>
          <w:lang w:eastAsia="en-GB"/>
        </w:rPr>
        <w:t>We do not pay bonuses to any of our employees;</w:t>
      </w:r>
    </w:p>
    <w:p w14:paraId="3C709F2D" w14:textId="5959886A" w:rsidR="00FA67FD" w:rsidRDefault="00FA67FD" w:rsidP="00FA67FD">
      <w:pPr>
        <w:pStyle w:val="4Bulletlist"/>
        <w:rPr>
          <w:lang w:eastAsia="en-GB"/>
        </w:rPr>
      </w:pPr>
      <w:r>
        <w:rPr>
          <w:lang w:eastAsia="en-GB"/>
        </w:rPr>
        <w:t>Usual practice is for new starters to the Assembly Commission to begin on minimum pay point;</w:t>
      </w:r>
    </w:p>
    <w:p w14:paraId="47974D8D" w14:textId="703D667A" w:rsidR="00FA67FD" w:rsidRDefault="00FA67FD" w:rsidP="00FA67FD">
      <w:pPr>
        <w:pStyle w:val="4Bulletlist"/>
        <w:rPr>
          <w:lang w:eastAsia="en-GB"/>
        </w:rPr>
      </w:pPr>
      <w:r>
        <w:rPr>
          <w:lang w:eastAsia="en-GB"/>
        </w:rPr>
        <w:t>Trade Union Side colleagues are involved in pay reviews and negotiations which take place every one to three years depending on economic conditions at the time; and</w:t>
      </w:r>
    </w:p>
    <w:p w14:paraId="1DF66501" w14:textId="48AD7EF1" w:rsidR="00FA67FD" w:rsidRDefault="00FA67FD" w:rsidP="00FA67FD">
      <w:pPr>
        <w:pStyle w:val="4Bulletlist"/>
        <w:rPr>
          <w:lang w:eastAsia="en-GB"/>
        </w:rPr>
      </w:pPr>
      <w:r>
        <w:rPr>
          <w:lang w:eastAsia="en-GB"/>
        </w:rPr>
        <w:lastRenderedPageBreak/>
        <w:t>Our Job Evaluation System is the Cabinet Office’s JEGS system for most grades, and the Cabinet Office’s JESP system for Directors.</w:t>
      </w:r>
    </w:p>
    <w:p w14:paraId="272B7B6E" w14:textId="19C45BB8" w:rsidR="00FA67FD" w:rsidRDefault="00FA67FD" w:rsidP="0076472B">
      <w:pPr>
        <w:pStyle w:val="2Sub-headings"/>
      </w:pPr>
      <w:r>
        <w:t>Equal Pay Audit 2017</w:t>
      </w:r>
    </w:p>
    <w:p w14:paraId="4A2B0241" w14:textId="77777777" w:rsidR="00FA67FD" w:rsidRDefault="00FA67FD" w:rsidP="0076472B">
      <w:pPr>
        <w:pStyle w:val="2Sub-section-heading"/>
        <w:rPr>
          <w:lang w:eastAsia="en-GB"/>
        </w:rPr>
      </w:pPr>
      <w:r>
        <w:rPr>
          <w:lang w:eastAsia="en-GB"/>
        </w:rPr>
        <w:t>Gender Analysis</w:t>
      </w:r>
    </w:p>
    <w:p w14:paraId="6F02428A" w14:textId="77777777" w:rsidR="00FA67FD" w:rsidRDefault="00FA67FD" w:rsidP="00FA67FD">
      <w:pPr>
        <w:spacing w:before="0" w:after="160" w:line="259" w:lineRule="auto"/>
        <w:rPr>
          <w:lang w:eastAsia="en-GB"/>
        </w:rPr>
      </w:pPr>
      <w:r>
        <w:rPr>
          <w:lang w:eastAsia="en-GB"/>
        </w:rPr>
        <w:t xml:space="preserve">Our organisation’s gender profile split is 50.0% men, 50.0% women (last year 48.2% men, 51.8% women). This result does not indicate a risk associated with the gender profile of the organisation. </w:t>
      </w:r>
    </w:p>
    <w:p w14:paraId="44BF9A8C" w14:textId="77777777" w:rsidR="00FA67FD" w:rsidRDefault="00FA67FD" w:rsidP="00FA67FD">
      <w:pPr>
        <w:spacing w:before="0" w:after="160" w:line="259" w:lineRule="auto"/>
        <w:rPr>
          <w:lang w:eastAsia="en-GB"/>
        </w:rPr>
      </w:pPr>
      <w:r>
        <w:rPr>
          <w:lang w:eastAsia="en-GB"/>
        </w:rPr>
        <w:t>The analysis this year differs slightly from that presented in previous years by the inclusion of data (table 13) which looks at Gender Pay Gap in order to comply with the requirements of the Equality Act 2010 (Specific Duties and Public Authorities) Regulations 2017.</w:t>
      </w:r>
    </w:p>
    <w:p w14:paraId="0598D4CA" w14:textId="64AE385F" w:rsidR="00FA67FD" w:rsidRDefault="00FA67FD" w:rsidP="00FA67FD">
      <w:pPr>
        <w:spacing w:before="0" w:after="0" w:line="240" w:lineRule="auto"/>
        <w:rPr>
          <w:rFonts w:ascii="Times New Roman" w:hAnsi="Times New Roman" w:cs="Times New Roman"/>
          <w:lang w:eastAsia="en-GB"/>
        </w:rPr>
      </w:pPr>
      <w:r>
        <w:rPr>
          <w:lang w:eastAsia="en-GB"/>
        </w:rPr>
        <w:t>Whilst both equal pay and the gender pay gap deal with the disparity of pay women receive in the workplace, they are two different issues</w:t>
      </w:r>
      <w:r>
        <w:rPr>
          <w:rStyle w:val="FootnoteReference"/>
          <w:rFonts w:eastAsia="Cynulliad Sans" w:cs="Times New Roman"/>
        </w:rPr>
        <w:footnoteReference w:id="5"/>
      </w:r>
      <w:r>
        <w:rPr>
          <w:rFonts w:ascii="Times New Roman" w:hAnsi="Times New Roman" w:cs="Times New Roman"/>
          <w:lang w:eastAsia="en-GB"/>
        </w:rPr>
        <w:t>:</w:t>
      </w:r>
    </w:p>
    <w:p w14:paraId="66A50B45" w14:textId="77777777" w:rsidR="00FA67FD" w:rsidRPr="00FA67FD" w:rsidRDefault="00FA67FD" w:rsidP="00FA67FD">
      <w:pPr>
        <w:spacing w:before="0" w:after="0" w:line="240" w:lineRule="auto"/>
        <w:rPr>
          <w:rFonts w:ascii="Times New Roman" w:hAnsi="Times New Roman" w:cs="Times New Roman"/>
          <w:lang w:eastAsia="en-GB"/>
        </w:rPr>
      </w:pPr>
    </w:p>
    <w:p w14:paraId="5327FA63" w14:textId="6F232FAC" w:rsidR="00FA67FD" w:rsidRDefault="00FA67FD" w:rsidP="00FA67FD">
      <w:pPr>
        <w:pStyle w:val="4Bulletlist"/>
        <w:rPr>
          <w:lang w:eastAsia="en-GB"/>
        </w:rPr>
      </w:pPr>
      <w:r>
        <w:rPr>
          <w:lang w:eastAsia="en-GB"/>
        </w:rPr>
        <w:t>Equal pay means that men and women in the same employment performing equal work must receive equal pay, as set out in the Equality Act 2010; and</w:t>
      </w:r>
    </w:p>
    <w:p w14:paraId="45163C04" w14:textId="77777777" w:rsidR="00FA67FD" w:rsidRDefault="00FA67FD" w:rsidP="00FA67FD">
      <w:pPr>
        <w:pStyle w:val="4Bulletlist"/>
        <w:rPr>
          <w:b/>
          <w:lang w:eastAsia="en-GB"/>
        </w:rPr>
      </w:pPr>
      <w:r>
        <w:rPr>
          <w:lang w:eastAsia="en-GB"/>
        </w:rPr>
        <w:t xml:space="preserve">The gender pay gap is a measure of the difference between men’s and women’s average earnings across an organisation or the labour market. It is expressed as a </w:t>
      </w:r>
      <w:r w:rsidRPr="00FA67FD">
        <w:rPr>
          <w:b/>
          <w:lang w:eastAsia="en-GB"/>
        </w:rPr>
        <w:t>percentage of men’s earnings.</w:t>
      </w:r>
    </w:p>
    <w:p w14:paraId="5D5D546E" w14:textId="77777777" w:rsidR="00FA67FD" w:rsidRDefault="00FA67FD">
      <w:pPr>
        <w:spacing w:before="0" w:after="160" w:line="259" w:lineRule="auto"/>
        <w:rPr>
          <w:rFonts w:eastAsia="Lucida Sans" w:cs="Times New Roman"/>
          <w:b/>
          <w:color w:val="414042"/>
          <w:kern w:val="24"/>
          <w:lang w:eastAsia="en-GB"/>
        </w:rPr>
      </w:pPr>
      <w:r>
        <w:rPr>
          <w:b/>
          <w:lang w:eastAsia="en-GB"/>
        </w:rPr>
        <w:br w:type="page"/>
      </w:r>
    </w:p>
    <w:p w14:paraId="21576AC6" w14:textId="72BC4350" w:rsidR="00634FE8" w:rsidRDefault="00634FE8" w:rsidP="00634FE8">
      <w:pPr>
        <w:pStyle w:val="Caption"/>
        <w:keepNext/>
      </w:pPr>
      <w:r>
        <w:lastRenderedPageBreak/>
        <w:t xml:space="preserve">Table </w:t>
      </w:r>
      <w:fldSimple w:instr=" SEQ Table \* ARABIC ">
        <w:r w:rsidR="00332158">
          <w:rPr>
            <w:noProof/>
          </w:rPr>
          <w:t>18</w:t>
        </w:r>
      </w:fldSimple>
      <w:r>
        <w:t xml:space="preserve">: </w:t>
      </w:r>
      <w:r w:rsidRPr="00DC3FE9">
        <w:t>Total Mean and Median Salary includes allowances</w:t>
      </w:r>
    </w:p>
    <w:tbl>
      <w:tblPr>
        <w:tblStyle w:val="GridTable4-Accent4"/>
        <w:tblW w:w="5000" w:type="pct"/>
        <w:tblLayout w:type="fixed"/>
        <w:tblLook w:val="04A0" w:firstRow="1" w:lastRow="0" w:firstColumn="1" w:lastColumn="0" w:noHBand="0" w:noVBand="1"/>
      </w:tblPr>
      <w:tblGrid>
        <w:gridCol w:w="1693"/>
        <w:gridCol w:w="1727"/>
        <w:gridCol w:w="1871"/>
        <w:gridCol w:w="2014"/>
        <w:gridCol w:w="431"/>
        <w:gridCol w:w="2159"/>
        <w:gridCol w:w="1582"/>
        <w:gridCol w:w="3309"/>
      </w:tblGrid>
      <w:tr w:rsidR="00FA67FD" w:rsidRPr="00FA67FD" w14:paraId="69841F5D" w14:textId="77777777" w:rsidTr="00C96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E1EB8E0" w14:textId="77777777" w:rsidR="00FA67FD" w:rsidRPr="00FA67FD" w:rsidRDefault="00FA67FD" w:rsidP="00A03923">
            <w:pPr>
              <w:spacing w:line="288" w:lineRule="auto"/>
              <w:rPr>
                <w:rFonts w:eastAsia="Cynulliad Sans" w:cs="Times New Roman"/>
                <w:sz w:val="22"/>
                <w:szCs w:val="22"/>
              </w:rPr>
            </w:pPr>
          </w:p>
        </w:tc>
        <w:tc>
          <w:tcPr>
            <w:tcW w:w="3544" w:type="dxa"/>
            <w:gridSpan w:val="2"/>
            <w:hideMark/>
          </w:tcPr>
          <w:p w14:paraId="4BA72C6F" w14:textId="7628AF23" w:rsidR="00FA67FD" w:rsidRPr="00FA67FD"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Pr>
                <w:rFonts w:eastAsia="Cynulliad Sans" w:cs="Times New Roman"/>
                <w:b w:val="0"/>
                <w:sz w:val="22"/>
                <w:szCs w:val="22"/>
              </w:rPr>
              <w:br/>
            </w:r>
            <w:r w:rsidR="00FA67FD" w:rsidRPr="00FA67FD">
              <w:rPr>
                <w:rFonts w:eastAsia="Cynulliad Sans" w:cs="Times New Roman"/>
                <w:b w:val="0"/>
                <w:sz w:val="22"/>
                <w:szCs w:val="22"/>
              </w:rPr>
              <w:t>Basic FTE salary</w:t>
            </w:r>
          </w:p>
        </w:tc>
        <w:tc>
          <w:tcPr>
            <w:tcW w:w="1984" w:type="dxa"/>
            <w:vMerge w:val="restart"/>
            <w:hideMark/>
          </w:tcPr>
          <w:p w14:paraId="67608DF7" w14:textId="11D3D943" w:rsidR="00FA67FD" w:rsidRPr="00FA67FD"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Pr>
                <w:rFonts w:eastAsia="Cynulliad Sans" w:cs="Times New Roman"/>
                <w:b w:val="0"/>
                <w:sz w:val="22"/>
                <w:szCs w:val="22"/>
              </w:rPr>
              <w:br/>
            </w:r>
            <w:r w:rsidR="00FA67FD" w:rsidRPr="00FA67FD">
              <w:rPr>
                <w:rFonts w:eastAsia="Cynulliad Sans" w:cs="Times New Roman"/>
                <w:b w:val="0"/>
                <w:sz w:val="22"/>
                <w:szCs w:val="22"/>
              </w:rPr>
              <w:t>% Difference</w:t>
            </w:r>
          </w:p>
        </w:tc>
        <w:tc>
          <w:tcPr>
            <w:tcW w:w="425" w:type="dxa"/>
            <w:shd w:val="clear" w:color="auto" w:fill="34A3AE"/>
          </w:tcPr>
          <w:p w14:paraId="7E332F4B" w14:textId="77777777" w:rsidR="00FA67FD" w:rsidRPr="00FA67FD" w:rsidRDefault="00FA67FD"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p>
        </w:tc>
        <w:tc>
          <w:tcPr>
            <w:tcW w:w="3686" w:type="dxa"/>
            <w:gridSpan w:val="2"/>
            <w:hideMark/>
          </w:tcPr>
          <w:p w14:paraId="0CAA4609" w14:textId="0742A973" w:rsidR="00FA67FD" w:rsidRPr="00FA67FD"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Pr>
                <w:rFonts w:eastAsia="Cynulliad Sans" w:cs="Times New Roman"/>
                <w:b w:val="0"/>
                <w:sz w:val="22"/>
                <w:szCs w:val="22"/>
              </w:rPr>
              <w:br/>
            </w:r>
            <w:r w:rsidR="00FA67FD" w:rsidRPr="00FA67FD">
              <w:rPr>
                <w:rFonts w:eastAsia="Cynulliad Sans" w:cs="Times New Roman"/>
                <w:b w:val="0"/>
                <w:sz w:val="22"/>
                <w:szCs w:val="22"/>
              </w:rPr>
              <w:t>Total FTE salary</w:t>
            </w:r>
          </w:p>
        </w:tc>
        <w:tc>
          <w:tcPr>
            <w:tcW w:w="3260" w:type="dxa"/>
            <w:vMerge w:val="restart"/>
            <w:hideMark/>
          </w:tcPr>
          <w:p w14:paraId="7B4D8F6C" w14:textId="236B468B" w:rsidR="00FA67FD" w:rsidRPr="00FA67FD"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Pr>
                <w:rFonts w:eastAsia="Cynulliad Sans" w:cs="Times New Roman"/>
                <w:b w:val="0"/>
                <w:sz w:val="22"/>
                <w:szCs w:val="22"/>
              </w:rPr>
              <w:br/>
            </w:r>
            <w:r w:rsidR="00FA67FD" w:rsidRPr="00FA67FD">
              <w:rPr>
                <w:rFonts w:eastAsia="Cynulliad Sans" w:cs="Times New Roman"/>
                <w:b w:val="0"/>
                <w:sz w:val="22"/>
                <w:szCs w:val="22"/>
              </w:rPr>
              <w:t>% Difference</w:t>
            </w:r>
          </w:p>
        </w:tc>
      </w:tr>
      <w:tr w:rsidR="00FA67FD" w:rsidRPr="00FA67FD" w14:paraId="21D1F460" w14:textId="77777777" w:rsidTr="00E94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34A3AE"/>
          </w:tcPr>
          <w:p w14:paraId="0CB419D1" w14:textId="77777777" w:rsidR="00FA67FD" w:rsidRPr="00E94285" w:rsidRDefault="00FA67FD" w:rsidP="00A03923">
            <w:pPr>
              <w:spacing w:line="288" w:lineRule="auto"/>
              <w:rPr>
                <w:rFonts w:eastAsia="Cynulliad Sans" w:cs="Times New Roman"/>
                <w:color w:val="FFFFFF" w:themeColor="background1"/>
                <w:sz w:val="22"/>
                <w:szCs w:val="22"/>
              </w:rPr>
            </w:pPr>
          </w:p>
        </w:tc>
        <w:tc>
          <w:tcPr>
            <w:tcW w:w="1701" w:type="dxa"/>
            <w:shd w:val="clear" w:color="auto" w:fill="34A3AE"/>
            <w:hideMark/>
          </w:tcPr>
          <w:p w14:paraId="744F1108"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 xml:space="preserve">Male </w:t>
            </w:r>
          </w:p>
        </w:tc>
        <w:tc>
          <w:tcPr>
            <w:tcW w:w="1843" w:type="dxa"/>
            <w:shd w:val="clear" w:color="auto" w:fill="34A3AE"/>
            <w:hideMark/>
          </w:tcPr>
          <w:p w14:paraId="184D6342"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Female</w:t>
            </w:r>
          </w:p>
        </w:tc>
        <w:tc>
          <w:tcPr>
            <w:tcW w:w="1984" w:type="dxa"/>
            <w:vMerge/>
            <w:shd w:val="clear" w:color="auto" w:fill="34A3AE"/>
            <w:hideMark/>
          </w:tcPr>
          <w:p w14:paraId="6BE59E7C"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p>
        </w:tc>
        <w:tc>
          <w:tcPr>
            <w:tcW w:w="425" w:type="dxa"/>
            <w:shd w:val="clear" w:color="auto" w:fill="34A3AE"/>
          </w:tcPr>
          <w:p w14:paraId="62FDEE23"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p>
        </w:tc>
        <w:tc>
          <w:tcPr>
            <w:tcW w:w="2127" w:type="dxa"/>
            <w:shd w:val="clear" w:color="auto" w:fill="34A3AE"/>
            <w:hideMark/>
          </w:tcPr>
          <w:p w14:paraId="42A58E8E"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 xml:space="preserve">Male </w:t>
            </w:r>
          </w:p>
        </w:tc>
        <w:tc>
          <w:tcPr>
            <w:tcW w:w="1559" w:type="dxa"/>
            <w:shd w:val="clear" w:color="auto" w:fill="34A3AE"/>
            <w:hideMark/>
          </w:tcPr>
          <w:p w14:paraId="645AAF42"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Female</w:t>
            </w:r>
          </w:p>
        </w:tc>
        <w:tc>
          <w:tcPr>
            <w:tcW w:w="3260" w:type="dxa"/>
            <w:vMerge/>
            <w:hideMark/>
          </w:tcPr>
          <w:p w14:paraId="0602505F"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r>
      <w:tr w:rsidR="00FA67FD" w:rsidRPr="00FA67FD" w14:paraId="017D0DCE" w14:textId="77777777" w:rsidTr="00C96009">
        <w:tc>
          <w:tcPr>
            <w:cnfStyle w:val="001000000000" w:firstRow="0" w:lastRow="0" w:firstColumn="1" w:lastColumn="0" w:oddVBand="0" w:evenVBand="0" w:oddHBand="0" w:evenHBand="0" w:firstRowFirstColumn="0" w:firstRowLastColumn="0" w:lastRowFirstColumn="0" w:lastRowLastColumn="0"/>
            <w:tcW w:w="1668" w:type="dxa"/>
            <w:hideMark/>
          </w:tcPr>
          <w:p w14:paraId="0E98D2A1" w14:textId="77777777" w:rsidR="00FA67FD" w:rsidRPr="00FA67FD" w:rsidRDefault="00FA67FD" w:rsidP="00A03923">
            <w:pPr>
              <w:spacing w:line="288" w:lineRule="auto"/>
              <w:rPr>
                <w:rFonts w:eastAsia="Cynulliad Sans" w:cs="Times New Roman"/>
                <w:sz w:val="22"/>
                <w:szCs w:val="22"/>
              </w:rPr>
            </w:pPr>
            <w:r w:rsidRPr="00FA67FD">
              <w:rPr>
                <w:rFonts w:eastAsia="Cynulliad Sans" w:cs="Times New Roman"/>
                <w:sz w:val="22"/>
                <w:szCs w:val="22"/>
              </w:rPr>
              <w:t>Mean</w:t>
            </w:r>
          </w:p>
        </w:tc>
        <w:tc>
          <w:tcPr>
            <w:tcW w:w="1701" w:type="dxa"/>
            <w:hideMark/>
          </w:tcPr>
          <w:p w14:paraId="17D53678"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£33,568</w:t>
            </w:r>
          </w:p>
        </w:tc>
        <w:tc>
          <w:tcPr>
            <w:tcW w:w="1843" w:type="dxa"/>
            <w:hideMark/>
          </w:tcPr>
          <w:p w14:paraId="6997541C"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£35,841</w:t>
            </w:r>
          </w:p>
        </w:tc>
        <w:tc>
          <w:tcPr>
            <w:tcW w:w="1984" w:type="dxa"/>
            <w:hideMark/>
          </w:tcPr>
          <w:p w14:paraId="6D82B10D"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6.8%</w:t>
            </w:r>
          </w:p>
        </w:tc>
        <w:tc>
          <w:tcPr>
            <w:tcW w:w="425" w:type="dxa"/>
            <w:shd w:val="clear" w:color="auto" w:fill="34A3AE"/>
          </w:tcPr>
          <w:p w14:paraId="49CF3BBB"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p>
        </w:tc>
        <w:tc>
          <w:tcPr>
            <w:tcW w:w="2127" w:type="dxa"/>
            <w:hideMark/>
          </w:tcPr>
          <w:p w14:paraId="2E334017"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£34,177</w:t>
            </w:r>
          </w:p>
        </w:tc>
        <w:tc>
          <w:tcPr>
            <w:tcW w:w="1559" w:type="dxa"/>
            <w:hideMark/>
          </w:tcPr>
          <w:p w14:paraId="7F2E6CF2"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£36,360</w:t>
            </w:r>
          </w:p>
        </w:tc>
        <w:tc>
          <w:tcPr>
            <w:tcW w:w="3260" w:type="dxa"/>
            <w:hideMark/>
          </w:tcPr>
          <w:p w14:paraId="331681C4"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6.4%</w:t>
            </w:r>
          </w:p>
        </w:tc>
      </w:tr>
      <w:tr w:rsidR="00FA67FD" w:rsidRPr="00FA67FD" w14:paraId="41F69B62" w14:textId="77777777" w:rsidTr="00C9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14:paraId="358743E5" w14:textId="77777777" w:rsidR="00FA67FD" w:rsidRPr="00FA67FD" w:rsidRDefault="00FA67FD" w:rsidP="00A03923">
            <w:pPr>
              <w:spacing w:line="288" w:lineRule="auto"/>
              <w:rPr>
                <w:rFonts w:eastAsia="Cynulliad Sans" w:cs="Times New Roman"/>
                <w:sz w:val="22"/>
                <w:szCs w:val="22"/>
              </w:rPr>
            </w:pPr>
            <w:r w:rsidRPr="00FA67FD">
              <w:rPr>
                <w:rFonts w:eastAsia="Cynulliad Sans" w:cs="Times New Roman"/>
                <w:sz w:val="22"/>
                <w:szCs w:val="22"/>
              </w:rPr>
              <w:t>Median</w:t>
            </w:r>
          </w:p>
        </w:tc>
        <w:tc>
          <w:tcPr>
            <w:tcW w:w="1701" w:type="dxa"/>
            <w:hideMark/>
          </w:tcPr>
          <w:p w14:paraId="21447A8A"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£27,806</w:t>
            </w:r>
          </w:p>
        </w:tc>
        <w:tc>
          <w:tcPr>
            <w:tcW w:w="1843" w:type="dxa"/>
            <w:hideMark/>
          </w:tcPr>
          <w:p w14:paraId="5B1DD6F9"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£36,453</w:t>
            </w:r>
          </w:p>
        </w:tc>
        <w:tc>
          <w:tcPr>
            <w:tcW w:w="1984" w:type="dxa"/>
            <w:hideMark/>
          </w:tcPr>
          <w:p w14:paraId="22CCFC4E"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31.1%</w:t>
            </w:r>
          </w:p>
        </w:tc>
        <w:tc>
          <w:tcPr>
            <w:tcW w:w="425" w:type="dxa"/>
            <w:shd w:val="clear" w:color="auto" w:fill="34A3AE"/>
          </w:tcPr>
          <w:p w14:paraId="2CF7FAC1"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c>
          <w:tcPr>
            <w:tcW w:w="2127" w:type="dxa"/>
            <w:hideMark/>
          </w:tcPr>
          <w:p w14:paraId="405B7D5A"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£27,806</w:t>
            </w:r>
          </w:p>
        </w:tc>
        <w:tc>
          <w:tcPr>
            <w:tcW w:w="1559" w:type="dxa"/>
            <w:hideMark/>
          </w:tcPr>
          <w:p w14:paraId="10E4CB3A"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£36,453</w:t>
            </w:r>
          </w:p>
        </w:tc>
        <w:tc>
          <w:tcPr>
            <w:tcW w:w="3260" w:type="dxa"/>
            <w:hideMark/>
          </w:tcPr>
          <w:p w14:paraId="34552844"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31.1%</w:t>
            </w:r>
          </w:p>
        </w:tc>
      </w:tr>
      <w:tr w:rsidR="00FA67FD" w:rsidRPr="00FA67FD" w14:paraId="46DC8AA6" w14:textId="77777777" w:rsidTr="00C96009">
        <w:tc>
          <w:tcPr>
            <w:cnfStyle w:val="001000000000" w:firstRow="0" w:lastRow="0" w:firstColumn="1" w:lastColumn="0" w:oddVBand="0" w:evenVBand="0" w:oddHBand="0" w:evenHBand="0" w:firstRowFirstColumn="0" w:firstRowLastColumn="0" w:lastRowFirstColumn="0" w:lastRowLastColumn="0"/>
            <w:tcW w:w="1668" w:type="dxa"/>
            <w:hideMark/>
          </w:tcPr>
          <w:p w14:paraId="2CB3E0E9" w14:textId="77777777" w:rsidR="00FA67FD" w:rsidRPr="00FA67FD" w:rsidRDefault="00FA67FD" w:rsidP="00A03923">
            <w:pPr>
              <w:spacing w:line="288" w:lineRule="auto"/>
              <w:rPr>
                <w:rFonts w:eastAsia="Cynulliad Sans" w:cs="Times New Roman"/>
                <w:sz w:val="22"/>
                <w:szCs w:val="22"/>
              </w:rPr>
            </w:pPr>
            <w:r w:rsidRPr="00FA67FD">
              <w:rPr>
                <w:rFonts w:eastAsia="Cynulliad Sans" w:cs="Times New Roman"/>
                <w:sz w:val="22"/>
                <w:szCs w:val="22"/>
              </w:rPr>
              <w:t>Count</w:t>
            </w:r>
          </w:p>
        </w:tc>
        <w:tc>
          <w:tcPr>
            <w:tcW w:w="1701" w:type="dxa"/>
            <w:hideMark/>
          </w:tcPr>
          <w:p w14:paraId="0BC80A1D"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231</w:t>
            </w:r>
          </w:p>
        </w:tc>
        <w:tc>
          <w:tcPr>
            <w:tcW w:w="1843" w:type="dxa"/>
            <w:hideMark/>
          </w:tcPr>
          <w:p w14:paraId="1438A83F"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231</w:t>
            </w:r>
          </w:p>
        </w:tc>
        <w:tc>
          <w:tcPr>
            <w:tcW w:w="9355" w:type="dxa"/>
            <w:gridSpan w:val="5"/>
            <w:shd w:val="clear" w:color="auto" w:fill="34A3AE"/>
          </w:tcPr>
          <w:p w14:paraId="5C9B24B8"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p>
        </w:tc>
      </w:tr>
    </w:tbl>
    <w:p w14:paraId="49D1F94B" w14:textId="77777777" w:rsidR="00FA67FD" w:rsidRDefault="00FA67FD" w:rsidP="00FA67FD">
      <w:pPr>
        <w:pStyle w:val="4Bulletlist"/>
        <w:numPr>
          <w:ilvl w:val="0"/>
          <w:numId w:val="0"/>
        </w:numPr>
        <w:rPr>
          <w:lang w:eastAsia="en-GB"/>
        </w:rPr>
      </w:pPr>
      <w:r w:rsidRPr="00FA67FD">
        <w:rPr>
          <w:lang w:eastAsia="en-GB"/>
        </w:rPr>
        <w:t>Source: Assembly Commission HR Payroll IT Reporting System</w:t>
      </w:r>
    </w:p>
    <w:p w14:paraId="77824D83" w14:textId="2DF7F378" w:rsidR="00FA67FD" w:rsidRDefault="00FA67FD" w:rsidP="00FA67FD">
      <w:pPr>
        <w:pStyle w:val="3Copy-text"/>
        <w:rPr>
          <w:lang w:eastAsia="en-GB"/>
        </w:rPr>
      </w:pPr>
      <w:r>
        <w:rPr>
          <w:lang w:eastAsia="en-GB"/>
        </w:rPr>
        <w:t>Analysis:</w:t>
      </w:r>
    </w:p>
    <w:p w14:paraId="687F9E74" w14:textId="77777777" w:rsidR="00FA67FD" w:rsidRDefault="00FA67FD" w:rsidP="00FA67FD">
      <w:pPr>
        <w:spacing w:before="0" w:after="0" w:line="240" w:lineRule="auto"/>
        <w:rPr>
          <w:rFonts w:ascii="Times New Roman" w:hAnsi="Times New Roman" w:cs="Times New Roman"/>
          <w:lang w:eastAsia="en-GB"/>
        </w:rPr>
      </w:pPr>
      <w:r>
        <w:rPr>
          <w:lang w:eastAsia="en-GB"/>
        </w:rPr>
        <w:t>The pay lead that women have over men has increased from last year’s figure of 18.3% to 31.1% on median for basic salary and from 29.6% to 31.1% on median for total salary (table 2). This compares to -9.4% in the UK</w:t>
      </w:r>
      <w:r>
        <w:rPr>
          <w:rStyle w:val="FootnoteReference"/>
        </w:rPr>
        <w:footnoteReference w:id="6"/>
      </w:r>
      <w:r>
        <w:rPr>
          <w:rFonts w:ascii="Times New Roman" w:hAnsi="Times New Roman" w:cs="Times New Roman"/>
          <w:lang w:eastAsia="en-GB"/>
        </w:rPr>
        <w:t xml:space="preserve"> </w:t>
      </w:r>
    </w:p>
    <w:p w14:paraId="5CE489EF" w14:textId="6D032E68" w:rsidR="00FA67FD" w:rsidRDefault="00FA67FD" w:rsidP="00FA67FD">
      <w:pPr>
        <w:pStyle w:val="3Copy-text"/>
        <w:rPr>
          <w:lang w:eastAsia="en-GB"/>
        </w:rPr>
      </w:pPr>
      <w:r>
        <w:rPr>
          <w:lang w:eastAsia="en-GB"/>
        </w:rPr>
        <w:t>. The difference is attributable to the following key factors:</w:t>
      </w:r>
    </w:p>
    <w:p w14:paraId="468C6CAB" w14:textId="7BC742B5" w:rsidR="00FA67FD" w:rsidRDefault="00FA67FD" w:rsidP="00FA67FD">
      <w:pPr>
        <w:pStyle w:val="4Bulletlist"/>
        <w:rPr>
          <w:lang w:eastAsia="en-GB"/>
        </w:rPr>
      </w:pPr>
      <w:r>
        <w:rPr>
          <w:lang w:eastAsia="en-GB"/>
        </w:rPr>
        <w:t xml:space="preserve">A higher concentration of men in certain grades and women in others. For example, there is a high concentration of men largely graded as Team Support (TS) within teams and a high concentration of women in the specialist M-2 grade. There are women at M1and M2 grades who are longer servers than men in those grades (Table 3);  </w:t>
      </w:r>
    </w:p>
    <w:p w14:paraId="42EBC854" w14:textId="77F2ED82" w:rsidR="00FA67FD" w:rsidRPr="00FA67FD" w:rsidRDefault="00FA67FD" w:rsidP="00FA67FD">
      <w:pPr>
        <w:pStyle w:val="4Bulletlist"/>
        <w:rPr>
          <w:lang w:eastAsia="en-GB"/>
        </w:rPr>
      </w:pPr>
      <w:r>
        <w:rPr>
          <w:lang w:eastAsia="en-GB"/>
        </w:rPr>
        <w:t>A staggered approach to ending additional to salary allowances: 2016-17 is the first year to realise the impact of agreements to halt allowances for procurement, ICT, and accountancy. The freeze and taper arrangements for bringing these to an end have been completed in 2015-16. As a number of male employees were in receipt of these, this has slightly suppressed the male median.</w:t>
      </w:r>
    </w:p>
    <w:p w14:paraId="00AF8655" w14:textId="77777777" w:rsidR="00FA67FD" w:rsidRDefault="00FA67FD" w:rsidP="00FA67FD">
      <w:pPr>
        <w:pStyle w:val="3Copy-text"/>
        <w:rPr>
          <w:lang w:eastAsia="en-GB"/>
        </w:rPr>
      </w:pPr>
      <w:r>
        <w:rPr>
          <w:lang w:eastAsia="en-GB"/>
        </w:rPr>
        <w:lastRenderedPageBreak/>
        <w:t>Actions:</w:t>
      </w:r>
    </w:p>
    <w:p w14:paraId="68C11AAE" w14:textId="7A495824" w:rsidR="00FA67FD" w:rsidRDefault="00FA67FD" w:rsidP="00FA67FD">
      <w:pPr>
        <w:pStyle w:val="4Bulletlist"/>
        <w:rPr>
          <w:lang w:eastAsia="en-GB"/>
        </w:rPr>
      </w:pPr>
      <w:r>
        <w:rPr>
          <w:lang w:eastAsia="en-GB"/>
        </w:rPr>
        <w:t xml:space="preserve">We will review the gender profile of our workforce across service areas, identifying whether there are any barriers to recruitment and progression and taking necessary steps to address this. </w:t>
      </w:r>
    </w:p>
    <w:p w14:paraId="53298111" w14:textId="77777777" w:rsidR="00FA67FD" w:rsidRDefault="00FA67FD" w:rsidP="00FA67FD">
      <w:pPr>
        <w:pStyle w:val="4Bulletlist"/>
        <w:rPr>
          <w:lang w:eastAsia="en-GB"/>
        </w:rPr>
      </w:pPr>
      <w:r>
        <w:rPr>
          <w:lang w:eastAsia="en-GB"/>
        </w:rPr>
        <w:t>We will also continue to review and monitor our allowances (which is in accordance with equal pay legislation).</w:t>
      </w:r>
    </w:p>
    <w:p w14:paraId="5EB5E28C" w14:textId="1E019FC2" w:rsidR="00634FE8" w:rsidRDefault="00634FE8" w:rsidP="00634FE8">
      <w:pPr>
        <w:pStyle w:val="Caption"/>
        <w:keepNext/>
      </w:pPr>
      <w:r>
        <w:t xml:space="preserve">Table </w:t>
      </w:r>
      <w:fldSimple w:instr=" SEQ Table \* ARABIC ">
        <w:r w:rsidR="00332158">
          <w:rPr>
            <w:noProof/>
          </w:rPr>
          <w:t>19</w:t>
        </w:r>
      </w:fldSimple>
      <w:r>
        <w:t xml:space="preserve">: </w:t>
      </w:r>
      <w:r w:rsidRPr="000B417A">
        <w:t>Mean Salaries of Men and Women by Grade</w:t>
      </w:r>
    </w:p>
    <w:tbl>
      <w:tblPr>
        <w:tblStyle w:val="GridTable4-Accent4"/>
        <w:tblW w:w="5000" w:type="pct"/>
        <w:tblLook w:val="04A0" w:firstRow="1" w:lastRow="0" w:firstColumn="1" w:lastColumn="0" w:noHBand="0" w:noVBand="1"/>
      </w:tblPr>
      <w:tblGrid>
        <w:gridCol w:w="2092"/>
        <w:gridCol w:w="739"/>
        <w:gridCol w:w="1015"/>
        <w:gridCol w:w="1442"/>
        <w:gridCol w:w="1701"/>
        <w:gridCol w:w="1701"/>
        <w:gridCol w:w="1560"/>
        <w:gridCol w:w="1984"/>
        <w:gridCol w:w="2552"/>
      </w:tblGrid>
      <w:tr w:rsidR="00184FD5" w:rsidRPr="00FA67FD" w14:paraId="2B062D32" w14:textId="77777777" w:rsidTr="00A03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D964D3" w14:textId="2598D1CA" w:rsidR="00184FD5" w:rsidRPr="00FA67FD" w:rsidRDefault="00A03923" w:rsidP="00A03923">
            <w:pPr>
              <w:spacing w:line="288" w:lineRule="auto"/>
              <w:rPr>
                <w:rFonts w:eastAsia="Calibri" w:cs="Times New Roman"/>
                <w:sz w:val="22"/>
                <w:szCs w:val="22"/>
              </w:rPr>
            </w:pPr>
            <w:r>
              <w:rPr>
                <w:rFonts w:eastAsia="Calibri" w:cs="Times New Roman"/>
                <w:sz w:val="22"/>
                <w:szCs w:val="22"/>
              </w:rPr>
              <w:t>4</w:t>
            </w:r>
          </w:p>
        </w:tc>
        <w:tc>
          <w:tcPr>
            <w:tcW w:w="0" w:type="auto"/>
          </w:tcPr>
          <w:p w14:paraId="7DFDBB8E" w14:textId="77777777" w:rsidR="00184FD5" w:rsidRPr="00FA67FD"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2"/>
              </w:rPr>
            </w:pPr>
          </w:p>
        </w:tc>
        <w:tc>
          <w:tcPr>
            <w:tcW w:w="0" w:type="auto"/>
          </w:tcPr>
          <w:p w14:paraId="0A112CAD" w14:textId="77777777" w:rsidR="00184FD5" w:rsidRPr="00FA67FD"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sz w:val="22"/>
                <w:szCs w:val="22"/>
              </w:rPr>
            </w:pPr>
          </w:p>
        </w:tc>
        <w:tc>
          <w:tcPr>
            <w:tcW w:w="3143" w:type="dxa"/>
            <w:gridSpan w:val="2"/>
            <w:hideMark/>
          </w:tcPr>
          <w:p w14:paraId="4FEBA683" w14:textId="42ADA6F0" w:rsidR="00184FD5" w:rsidRPr="00FA67FD"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b w:val="0"/>
                <w:sz w:val="22"/>
                <w:szCs w:val="22"/>
              </w:rPr>
            </w:pPr>
            <w:r>
              <w:rPr>
                <w:rFonts w:eastAsia="Calibri" w:cs="Times New Roman"/>
                <w:b w:val="0"/>
                <w:sz w:val="22"/>
                <w:szCs w:val="22"/>
              </w:rPr>
              <w:br/>
            </w:r>
            <w:r w:rsidRPr="00FA67FD">
              <w:rPr>
                <w:rFonts w:eastAsia="Calibri" w:cs="Times New Roman"/>
                <w:b w:val="0"/>
                <w:sz w:val="22"/>
                <w:szCs w:val="22"/>
              </w:rPr>
              <w:t>Basic FTE mean salary</w:t>
            </w:r>
          </w:p>
        </w:tc>
        <w:tc>
          <w:tcPr>
            <w:tcW w:w="1701" w:type="dxa"/>
            <w:vMerge w:val="restart"/>
            <w:hideMark/>
          </w:tcPr>
          <w:p w14:paraId="1E5FDC3D" w14:textId="175D6CEE" w:rsidR="00184FD5" w:rsidRPr="00FA67FD"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b w:val="0"/>
                <w:sz w:val="22"/>
                <w:szCs w:val="22"/>
              </w:rPr>
            </w:pPr>
            <w:r>
              <w:rPr>
                <w:rFonts w:eastAsia="Calibri" w:cs="Times New Roman"/>
                <w:b w:val="0"/>
                <w:sz w:val="22"/>
                <w:szCs w:val="22"/>
              </w:rPr>
              <w:br/>
            </w:r>
            <w:r w:rsidRPr="00FA67FD">
              <w:rPr>
                <w:rFonts w:eastAsia="Calibri" w:cs="Times New Roman"/>
                <w:b w:val="0"/>
                <w:sz w:val="22"/>
                <w:szCs w:val="22"/>
              </w:rPr>
              <w:t>% Difference</w:t>
            </w:r>
          </w:p>
        </w:tc>
        <w:tc>
          <w:tcPr>
            <w:tcW w:w="3544" w:type="dxa"/>
            <w:gridSpan w:val="2"/>
            <w:hideMark/>
          </w:tcPr>
          <w:p w14:paraId="74DBBCCB" w14:textId="1AEA2B51" w:rsidR="00184FD5" w:rsidRPr="00FA67FD"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b w:val="0"/>
                <w:sz w:val="22"/>
                <w:szCs w:val="22"/>
              </w:rPr>
            </w:pPr>
            <w:r>
              <w:rPr>
                <w:rFonts w:eastAsia="Calibri" w:cs="Times New Roman"/>
                <w:b w:val="0"/>
                <w:sz w:val="22"/>
                <w:szCs w:val="22"/>
              </w:rPr>
              <w:br/>
            </w:r>
            <w:r w:rsidRPr="00FA67FD">
              <w:rPr>
                <w:rFonts w:eastAsia="Calibri" w:cs="Times New Roman"/>
                <w:b w:val="0"/>
                <w:sz w:val="22"/>
                <w:szCs w:val="22"/>
              </w:rPr>
              <w:t xml:space="preserve">Total FTE mean salary </w:t>
            </w:r>
          </w:p>
        </w:tc>
        <w:tc>
          <w:tcPr>
            <w:tcW w:w="2552" w:type="dxa"/>
            <w:vMerge w:val="restart"/>
            <w:hideMark/>
          </w:tcPr>
          <w:p w14:paraId="2CE6BDA5" w14:textId="248C8C02" w:rsidR="00184FD5" w:rsidRPr="00FA67FD"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alibri" w:cs="Times New Roman"/>
                <w:b w:val="0"/>
                <w:sz w:val="22"/>
                <w:szCs w:val="22"/>
              </w:rPr>
            </w:pPr>
            <w:r>
              <w:rPr>
                <w:rFonts w:eastAsia="Calibri" w:cs="Times New Roman"/>
                <w:b w:val="0"/>
                <w:sz w:val="22"/>
                <w:szCs w:val="22"/>
              </w:rPr>
              <w:br/>
            </w:r>
            <w:r w:rsidRPr="00FA67FD">
              <w:rPr>
                <w:rFonts w:eastAsia="Calibri" w:cs="Times New Roman"/>
                <w:b w:val="0"/>
                <w:sz w:val="22"/>
                <w:szCs w:val="22"/>
              </w:rPr>
              <w:t>% Difference</w:t>
            </w:r>
          </w:p>
        </w:tc>
      </w:tr>
      <w:tr w:rsidR="00184FD5" w:rsidRPr="00FA67FD" w14:paraId="4921E257" w14:textId="77777777" w:rsidTr="00E94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34A3AE"/>
            <w:hideMark/>
          </w:tcPr>
          <w:p w14:paraId="2700B13B" w14:textId="77777777" w:rsidR="00184FD5" w:rsidRPr="00E94285" w:rsidRDefault="00184FD5" w:rsidP="00A03923">
            <w:pPr>
              <w:spacing w:line="288" w:lineRule="auto"/>
              <w:rPr>
                <w:rFonts w:eastAsia="Calibri" w:cs="Times New Roman"/>
                <w:color w:val="FFFFFF" w:themeColor="background1"/>
                <w:sz w:val="22"/>
                <w:szCs w:val="22"/>
              </w:rPr>
            </w:pPr>
            <w:r w:rsidRPr="00E94285">
              <w:rPr>
                <w:rFonts w:eastAsia="Calibri" w:cs="Times New Roman"/>
                <w:color w:val="FFFFFF" w:themeColor="background1"/>
                <w:sz w:val="22"/>
                <w:szCs w:val="22"/>
              </w:rPr>
              <w:t>Grade</w:t>
            </w:r>
          </w:p>
        </w:tc>
        <w:tc>
          <w:tcPr>
            <w:tcW w:w="0" w:type="auto"/>
            <w:shd w:val="clear" w:color="auto" w:fill="34A3AE"/>
            <w:hideMark/>
          </w:tcPr>
          <w:p w14:paraId="609BE4A5"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94285">
              <w:rPr>
                <w:rFonts w:eastAsia="Calibri" w:cs="Times New Roman"/>
                <w:color w:val="FFFFFF" w:themeColor="background1"/>
                <w:sz w:val="22"/>
                <w:szCs w:val="22"/>
              </w:rPr>
              <w:t>Male</w:t>
            </w:r>
          </w:p>
        </w:tc>
        <w:tc>
          <w:tcPr>
            <w:tcW w:w="0" w:type="auto"/>
            <w:shd w:val="clear" w:color="auto" w:fill="34A3AE"/>
            <w:hideMark/>
          </w:tcPr>
          <w:p w14:paraId="579F8154"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94285">
              <w:rPr>
                <w:rFonts w:eastAsia="Calibri" w:cs="Times New Roman"/>
                <w:color w:val="FFFFFF" w:themeColor="background1"/>
                <w:sz w:val="22"/>
                <w:szCs w:val="22"/>
              </w:rPr>
              <w:t>Female</w:t>
            </w:r>
          </w:p>
        </w:tc>
        <w:tc>
          <w:tcPr>
            <w:tcW w:w="1442" w:type="dxa"/>
            <w:shd w:val="clear" w:color="auto" w:fill="34A3AE"/>
            <w:hideMark/>
          </w:tcPr>
          <w:p w14:paraId="1D31693B"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94285">
              <w:rPr>
                <w:rFonts w:eastAsia="Calibri" w:cs="Times New Roman"/>
                <w:color w:val="FFFFFF" w:themeColor="background1"/>
                <w:sz w:val="22"/>
                <w:szCs w:val="22"/>
              </w:rPr>
              <w:t>Male</w:t>
            </w:r>
          </w:p>
        </w:tc>
        <w:tc>
          <w:tcPr>
            <w:tcW w:w="1701" w:type="dxa"/>
            <w:shd w:val="clear" w:color="auto" w:fill="34A3AE"/>
            <w:hideMark/>
          </w:tcPr>
          <w:p w14:paraId="0B9EBDA0"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94285">
              <w:rPr>
                <w:rFonts w:eastAsia="Calibri" w:cs="Times New Roman"/>
                <w:color w:val="FFFFFF" w:themeColor="background1"/>
                <w:sz w:val="22"/>
                <w:szCs w:val="22"/>
              </w:rPr>
              <w:t>Female</w:t>
            </w:r>
          </w:p>
        </w:tc>
        <w:tc>
          <w:tcPr>
            <w:tcW w:w="1701" w:type="dxa"/>
            <w:vMerge/>
            <w:shd w:val="clear" w:color="auto" w:fill="34A3AE"/>
            <w:hideMark/>
          </w:tcPr>
          <w:p w14:paraId="63DD57A6"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p>
        </w:tc>
        <w:tc>
          <w:tcPr>
            <w:tcW w:w="1560" w:type="dxa"/>
            <w:shd w:val="clear" w:color="auto" w:fill="34A3AE"/>
            <w:hideMark/>
          </w:tcPr>
          <w:p w14:paraId="4E4D0842"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94285">
              <w:rPr>
                <w:rFonts w:eastAsia="Calibri" w:cs="Times New Roman"/>
                <w:color w:val="FFFFFF" w:themeColor="background1"/>
                <w:sz w:val="22"/>
                <w:szCs w:val="22"/>
              </w:rPr>
              <w:t>Male</w:t>
            </w:r>
          </w:p>
        </w:tc>
        <w:tc>
          <w:tcPr>
            <w:tcW w:w="1984" w:type="dxa"/>
            <w:shd w:val="clear" w:color="auto" w:fill="34A3AE"/>
            <w:hideMark/>
          </w:tcPr>
          <w:p w14:paraId="7C429F71"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FFFFFF" w:themeColor="background1"/>
                <w:sz w:val="22"/>
                <w:szCs w:val="22"/>
              </w:rPr>
            </w:pPr>
            <w:r w:rsidRPr="00E94285">
              <w:rPr>
                <w:rFonts w:eastAsia="Calibri" w:cs="Times New Roman"/>
                <w:color w:val="FFFFFF" w:themeColor="background1"/>
                <w:sz w:val="22"/>
                <w:szCs w:val="22"/>
              </w:rPr>
              <w:t>Female</w:t>
            </w:r>
          </w:p>
        </w:tc>
        <w:tc>
          <w:tcPr>
            <w:tcW w:w="2552" w:type="dxa"/>
            <w:vMerge/>
            <w:hideMark/>
          </w:tcPr>
          <w:p w14:paraId="22EBBF98"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p>
        </w:tc>
      </w:tr>
      <w:tr w:rsidR="00184FD5" w:rsidRPr="00FA67FD" w14:paraId="066625C0" w14:textId="77777777" w:rsidTr="00A03923">
        <w:tc>
          <w:tcPr>
            <w:cnfStyle w:val="001000000000" w:firstRow="0" w:lastRow="0" w:firstColumn="1" w:lastColumn="0" w:oddVBand="0" w:evenVBand="0" w:oddHBand="0" w:evenHBand="0" w:firstRowFirstColumn="0" w:firstRowLastColumn="0" w:lastRowFirstColumn="0" w:lastRowLastColumn="0"/>
            <w:tcW w:w="0" w:type="auto"/>
            <w:hideMark/>
          </w:tcPr>
          <w:p w14:paraId="33F4FF52" w14:textId="77777777" w:rsidR="00184FD5" w:rsidRPr="00FA67FD" w:rsidRDefault="00184FD5" w:rsidP="00A03923">
            <w:pPr>
              <w:spacing w:line="288" w:lineRule="auto"/>
              <w:rPr>
                <w:rFonts w:eastAsia="Calibri" w:cs="Times New Roman"/>
                <w:sz w:val="22"/>
                <w:szCs w:val="22"/>
              </w:rPr>
            </w:pPr>
            <w:r w:rsidRPr="00FA67FD">
              <w:rPr>
                <w:rFonts w:eastAsia="Calibri" w:cs="Times New Roman"/>
                <w:sz w:val="22"/>
                <w:szCs w:val="22"/>
              </w:rPr>
              <w:t>Apprentice</w:t>
            </w:r>
          </w:p>
        </w:tc>
        <w:tc>
          <w:tcPr>
            <w:tcW w:w="0" w:type="auto"/>
            <w:hideMark/>
          </w:tcPr>
          <w:p w14:paraId="58F3ACDA"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w:t>
            </w:r>
          </w:p>
        </w:tc>
        <w:tc>
          <w:tcPr>
            <w:tcW w:w="0" w:type="auto"/>
            <w:hideMark/>
          </w:tcPr>
          <w:p w14:paraId="173B0CA7"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w:t>
            </w:r>
          </w:p>
        </w:tc>
        <w:tc>
          <w:tcPr>
            <w:tcW w:w="1442" w:type="dxa"/>
            <w:hideMark/>
          </w:tcPr>
          <w:p w14:paraId="4F6113E5"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£16,258</w:t>
            </w:r>
          </w:p>
        </w:tc>
        <w:tc>
          <w:tcPr>
            <w:tcW w:w="1701" w:type="dxa"/>
            <w:hideMark/>
          </w:tcPr>
          <w:p w14:paraId="5A451EFE"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£16,258</w:t>
            </w:r>
          </w:p>
        </w:tc>
        <w:tc>
          <w:tcPr>
            <w:tcW w:w="1701" w:type="dxa"/>
            <w:hideMark/>
          </w:tcPr>
          <w:p w14:paraId="28C2D835"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0.0%</w:t>
            </w:r>
          </w:p>
        </w:tc>
        <w:tc>
          <w:tcPr>
            <w:tcW w:w="1560" w:type="dxa"/>
            <w:hideMark/>
          </w:tcPr>
          <w:p w14:paraId="06C708D7"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£16,258</w:t>
            </w:r>
          </w:p>
        </w:tc>
        <w:tc>
          <w:tcPr>
            <w:tcW w:w="1984" w:type="dxa"/>
            <w:hideMark/>
          </w:tcPr>
          <w:p w14:paraId="1CAACA11"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£16,258</w:t>
            </w:r>
          </w:p>
        </w:tc>
        <w:tc>
          <w:tcPr>
            <w:tcW w:w="2552" w:type="dxa"/>
            <w:hideMark/>
          </w:tcPr>
          <w:p w14:paraId="5F16BD39"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0.0%</w:t>
            </w:r>
          </w:p>
        </w:tc>
      </w:tr>
      <w:tr w:rsidR="00184FD5" w:rsidRPr="00FA67FD" w14:paraId="7D4CA5EE" w14:textId="77777777" w:rsidTr="00A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C2FBC3" w14:textId="77777777" w:rsidR="00184FD5" w:rsidRPr="00FA67FD" w:rsidRDefault="00184FD5" w:rsidP="00A03923">
            <w:pPr>
              <w:spacing w:line="288" w:lineRule="auto"/>
              <w:rPr>
                <w:rFonts w:eastAsia="Calibri" w:cs="Times New Roman"/>
                <w:sz w:val="22"/>
                <w:szCs w:val="22"/>
              </w:rPr>
            </w:pPr>
            <w:r w:rsidRPr="00FA67FD">
              <w:rPr>
                <w:rFonts w:eastAsia="Calibri" w:cs="Times New Roman"/>
                <w:sz w:val="22"/>
                <w:szCs w:val="22"/>
              </w:rPr>
              <w:t>TS</w:t>
            </w:r>
          </w:p>
        </w:tc>
        <w:tc>
          <w:tcPr>
            <w:tcW w:w="0" w:type="auto"/>
            <w:hideMark/>
          </w:tcPr>
          <w:p w14:paraId="2E41267B"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76</w:t>
            </w:r>
          </w:p>
        </w:tc>
        <w:tc>
          <w:tcPr>
            <w:tcW w:w="0" w:type="auto"/>
            <w:hideMark/>
          </w:tcPr>
          <w:p w14:paraId="146E10D5"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50</w:t>
            </w:r>
          </w:p>
        </w:tc>
        <w:tc>
          <w:tcPr>
            <w:tcW w:w="1442" w:type="dxa"/>
            <w:hideMark/>
          </w:tcPr>
          <w:p w14:paraId="5D886E2E"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£22,067</w:t>
            </w:r>
          </w:p>
        </w:tc>
        <w:tc>
          <w:tcPr>
            <w:tcW w:w="1701" w:type="dxa"/>
            <w:hideMark/>
          </w:tcPr>
          <w:p w14:paraId="55F7BA65"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£22,067</w:t>
            </w:r>
          </w:p>
        </w:tc>
        <w:tc>
          <w:tcPr>
            <w:tcW w:w="1701" w:type="dxa"/>
            <w:hideMark/>
          </w:tcPr>
          <w:p w14:paraId="1BB68CCF"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0.0%</w:t>
            </w:r>
          </w:p>
        </w:tc>
        <w:tc>
          <w:tcPr>
            <w:tcW w:w="1560" w:type="dxa"/>
            <w:hideMark/>
          </w:tcPr>
          <w:p w14:paraId="76895A2B"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£27,407</w:t>
            </w:r>
          </w:p>
        </w:tc>
        <w:tc>
          <w:tcPr>
            <w:tcW w:w="1984" w:type="dxa"/>
            <w:hideMark/>
          </w:tcPr>
          <w:p w14:paraId="0E550F99"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£24,274</w:t>
            </w:r>
          </w:p>
        </w:tc>
        <w:tc>
          <w:tcPr>
            <w:tcW w:w="2552" w:type="dxa"/>
            <w:hideMark/>
          </w:tcPr>
          <w:p w14:paraId="70440A51"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-11.4%</w:t>
            </w:r>
          </w:p>
        </w:tc>
      </w:tr>
      <w:tr w:rsidR="00184FD5" w:rsidRPr="00FA67FD" w14:paraId="1FF54F21" w14:textId="77777777" w:rsidTr="00A03923">
        <w:tc>
          <w:tcPr>
            <w:cnfStyle w:val="001000000000" w:firstRow="0" w:lastRow="0" w:firstColumn="1" w:lastColumn="0" w:oddVBand="0" w:evenVBand="0" w:oddHBand="0" w:evenHBand="0" w:firstRowFirstColumn="0" w:firstRowLastColumn="0" w:lastRowFirstColumn="0" w:lastRowLastColumn="0"/>
            <w:tcW w:w="0" w:type="auto"/>
            <w:hideMark/>
          </w:tcPr>
          <w:p w14:paraId="008699DF" w14:textId="77777777" w:rsidR="00184FD5" w:rsidRPr="00FA67FD" w:rsidRDefault="00184FD5" w:rsidP="00A03923">
            <w:pPr>
              <w:spacing w:line="288" w:lineRule="auto"/>
              <w:rPr>
                <w:rFonts w:eastAsia="Calibri" w:cs="Times New Roman"/>
                <w:sz w:val="22"/>
                <w:szCs w:val="22"/>
              </w:rPr>
            </w:pPr>
            <w:r w:rsidRPr="00FA67FD">
              <w:rPr>
                <w:rFonts w:eastAsia="Calibri" w:cs="Times New Roman"/>
                <w:sz w:val="22"/>
                <w:szCs w:val="22"/>
              </w:rPr>
              <w:t>M-3</w:t>
            </w:r>
          </w:p>
        </w:tc>
        <w:tc>
          <w:tcPr>
            <w:tcW w:w="0" w:type="auto"/>
            <w:hideMark/>
          </w:tcPr>
          <w:p w14:paraId="46C99D9C"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37</w:t>
            </w:r>
          </w:p>
        </w:tc>
        <w:tc>
          <w:tcPr>
            <w:tcW w:w="0" w:type="auto"/>
            <w:hideMark/>
          </w:tcPr>
          <w:p w14:paraId="3FB039D9"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31</w:t>
            </w:r>
          </w:p>
        </w:tc>
        <w:tc>
          <w:tcPr>
            <w:tcW w:w="1442" w:type="dxa"/>
            <w:hideMark/>
          </w:tcPr>
          <w:p w14:paraId="66A80668"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£27,806</w:t>
            </w:r>
          </w:p>
        </w:tc>
        <w:tc>
          <w:tcPr>
            <w:tcW w:w="1701" w:type="dxa"/>
            <w:hideMark/>
          </w:tcPr>
          <w:p w14:paraId="570AB60C"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£27,806</w:t>
            </w:r>
          </w:p>
        </w:tc>
        <w:tc>
          <w:tcPr>
            <w:tcW w:w="1701" w:type="dxa"/>
            <w:hideMark/>
          </w:tcPr>
          <w:p w14:paraId="50F6C446"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0.0%</w:t>
            </w:r>
          </w:p>
        </w:tc>
        <w:tc>
          <w:tcPr>
            <w:tcW w:w="1560" w:type="dxa"/>
            <w:hideMark/>
          </w:tcPr>
          <w:p w14:paraId="65C1A9CE"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£33,146</w:t>
            </w:r>
          </w:p>
        </w:tc>
        <w:tc>
          <w:tcPr>
            <w:tcW w:w="1984" w:type="dxa"/>
            <w:hideMark/>
          </w:tcPr>
          <w:p w14:paraId="519C38CC"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£33,146</w:t>
            </w:r>
          </w:p>
        </w:tc>
        <w:tc>
          <w:tcPr>
            <w:tcW w:w="2552" w:type="dxa"/>
            <w:hideMark/>
          </w:tcPr>
          <w:p w14:paraId="713BD8B3"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0.0%</w:t>
            </w:r>
          </w:p>
        </w:tc>
      </w:tr>
      <w:tr w:rsidR="00184FD5" w:rsidRPr="00FA67FD" w14:paraId="51DFAA5D" w14:textId="77777777" w:rsidTr="00A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E96175" w14:textId="77777777" w:rsidR="00184FD5" w:rsidRPr="00FA67FD" w:rsidRDefault="00184FD5" w:rsidP="00A03923">
            <w:pPr>
              <w:spacing w:line="288" w:lineRule="auto"/>
              <w:rPr>
                <w:rFonts w:eastAsia="Calibri" w:cs="Times New Roman"/>
                <w:sz w:val="22"/>
                <w:szCs w:val="22"/>
              </w:rPr>
            </w:pPr>
            <w:r w:rsidRPr="00FA67FD">
              <w:rPr>
                <w:rFonts w:eastAsia="Calibri" w:cs="Times New Roman"/>
                <w:sz w:val="22"/>
                <w:szCs w:val="22"/>
              </w:rPr>
              <w:t xml:space="preserve">M-2 </w:t>
            </w:r>
          </w:p>
        </w:tc>
        <w:tc>
          <w:tcPr>
            <w:tcW w:w="0" w:type="auto"/>
            <w:hideMark/>
          </w:tcPr>
          <w:p w14:paraId="344C8F62"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46</w:t>
            </w:r>
          </w:p>
        </w:tc>
        <w:tc>
          <w:tcPr>
            <w:tcW w:w="0" w:type="auto"/>
            <w:hideMark/>
          </w:tcPr>
          <w:p w14:paraId="7825802F"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79</w:t>
            </w:r>
          </w:p>
        </w:tc>
        <w:tc>
          <w:tcPr>
            <w:tcW w:w="1442" w:type="dxa"/>
            <w:hideMark/>
          </w:tcPr>
          <w:p w14:paraId="51B38641"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£32,827</w:t>
            </w:r>
          </w:p>
        </w:tc>
        <w:tc>
          <w:tcPr>
            <w:tcW w:w="1701" w:type="dxa"/>
            <w:hideMark/>
          </w:tcPr>
          <w:p w14:paraId="6F325D21"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£34,198</w:t>
            </w:r>
          </w:p>
        </w:tc>
        <w:tc>
          <w:tcPr>
            <w:tcW w:w="1701" w:type="dxa"/>
            <w:hideMark/>
          </w:tcPr>
          <w:p w14:paraId="7A2B9BF1"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4.2%</w:t>
            </w:r>
          </w:p>
        </w:tc>
        <w:tc>
          <w:tcPr>
            <w:tcW w:w="1560" w:type="dxa"/>
            <w:hideMark/>
          </w:tcPr>
          <w:p w14:paraId="093FF6C3"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£33,454</w:t>
            </w:r>
          </w:p>
        </w:tc>
        <w:tc>
          <w:tcPr>
            <w:tcW w:w="1984" w:type="dxa"/>
            <w:hideMark/>
          </w:tcPr>
          <w:p w14:paraId="75EA3ABA"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£35,114</w:t>
            </w:r>
          </w:p>
        </w:tc>
        <w:tc>
          <w:tcPr>
            <w:tcW w:w="2552" w:type="dxa"/>
            <w:hideMark/>
          </w:tcPr>
          <w:p w14:paraId="35DBF200"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5.0%</w:t>
            </w:r>
          </w:p>
        </w:tc>
      </w:tr>
      <w:tr w:rsidR="00184FD5" w:rsidRPr="00FA67FD" w14:paraId="735C664B" w14:textId="77777777" w:rsidTr="00A03923">
        <w:tc>
          <w:tcPr>
            <w:cnfStyle w:val="001000000000" w:firstRow="0" w:lastRow="0" w:firstColumn="1" w:lastColumn="0" w:oddVBand="0" w:evenVBand="0" w:oddHBand="0" w:evenHBand="0" w:firstRowFirstColumn="0" w:firstRowLastColumn="0" w:lastRowFirstColumn="0" w:lastRowLastColumn="0"/>
            <w:tcW w:w="0" w:type="auto"/>
            <w:hideMark/>
          </w:tcPr>
          <w:p w14:paraId="0C978CC0" w14:textId="77777777" w:rsidR="00184FD5" w:rsidRPr="00FA67FD" w:rsidRDefault="00184FD5" w:rsidP="00A03923">
            <w:pPr>
              <w:spacing w:line="288" w:lineRule="auto"/>
              <w:rPr>
                <w:rFonts w:eastAsia="Calibri" w:cs="Times New Roman"/>
                <w:sz w:val="22"/>
                <w:szCs w:val="22"/>
              </w:rPr>
            </w:pPr>
            <w:r w:rsidRPr="00FA67FD">
              <w:rPr>
                <w:rFonts w:eastAsia="Calibri" w:cs="Times New Roman"/>
                <w:sz w:val="22"/>
                <w:szCs w:val="22"/>
              </w:rPr>
              <w:t>M-1</w:t>
            </w:r>
          </w:p>
        </w:tc>
        <w:tc>
          <w:tcPr>
            <w:tcW w:w="0" w:type="auto"/>
            <w:hideMark/>
          </w:tcPr>
          <w:p w14:paraId="2CFF68DC"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34</w:t>
            </w:r>
          </w:p>
        </w:tc>
        <w:tc>
          <w:tcPr>
            <w:tcW w:w="0" w:type="auto"/>
            <w:hideMark/>
          </w:tcPr>
          <w:p w14:paraId="5D6681DB"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36</w:t>
            </w:r>
          </w:p>
        </w:tc>
        <w:tc>
          <w:tcPr>
            <w:tcW w:w="1442" w:type="dxa"/>
            <w:hideMark/>
          </w:tcPr>
          <w:p w14:paraId="4090A8C4"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£41,418</w:t>
            </w:r>
          </w:p>
        </w:tc>
        <w:tc>
          <w:tcPr>
            <w:tcW w:w="1701" w:type="dxa"/>
            <w:hideMark/>
          </w:tcPr>
          <w:p w14:paraId="08A74ADD"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£43,800</w:t>
            </w:r>
          </w:p>
        </w:tc>
        <w:tc>
          <w:tcPr>
            <w:tcW w:w="1701" w:type="dxa"/>
            <w:hideMark/>
          </w:tcPr>
          <w:p w14:paraId="14EFA3BB"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5.8%</w:t>
            </w:r>
          </w:p>
        </w:tc>
        <w:tc>
          <w:tcPr>
            <w:tcW w:w="1560" w:type="dxa"/>
            <w:hideMark/>
          </w:tcPr>
          <w:p w14:paraId="7C602360"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£42,008</w:t>
            </w:r>
          </w:p>
        </w:tc>
        <w:tc>
          <w:tcPr>
            <w:tcW w:w="1984" w:type="dxa"/>
            <w:hideMark/>
          </w:tcPr>
          <w:p w14:paraId="0F3A0B05"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£44,380</w:t>
            </w:r>
          </w:p>
        </w:tc>
        <w:tc>
          <w:tcPr>
            <w:tcW w:w="2552" w:type="dxa"/>
            <w:hideMark/>
          </w:tcPr>
          <w:p w14:paraId="40C57D15"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5.6%</w:t>
            </w:r>
          </w:p>
        </w:tc>
      </w:tr>
      <w:tr w:rsidR="00184FD5" w:rsidRPr="00FA67FD" w14:paraId="6C7F7B85" w14:textId="77777777" w:rsidTr="00A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CD3904" w14:textId="77777777" w:rsidR="00184FD5" w:rsidRPr="00FA67FD" w:rsidRDefault="00184FD5" w:rsidP="00A03923">
            <w:pPr>
              <w:spacing w:line="288" w:lineRule="auto"/>
              <w:rPr>
                <w:rFonts w:eastAsia="Calibri" w:cs="Times New Roman"/>
                <w:sz w:val="22"/>
                <w:szCs w:val="22"/>
              </w:rPr>
            </w:pPr>
            <w:r w:rsidRPr="00FA67FD">
              <w:rPr>
                <w:rFonts w:eastAsia="Calibri" w:cs="Times New Roman"/>
                <w:sz w:val="22"/>
                <w:szCs w:val="22"/>
              </w:rPr>
              <w:t>E-2</w:t>
            </w:r>
          </w:p>
        </w:tc>
        <w:tc>
          <w:tcPr>
            <w:tcW w:w="0" w:type="auto"/>
            <w:hideMark/>
          </w:tcPr>
          <w:p w14:paraId="6E112C56"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27</w:t>
            </w:r>
          </w:p>
        </w:tc>
        <w:tc>
          <w:tcPr>
            <w:tcW w:w="0" w:type="auto"/>
            <w:hideMark/>
          </w:tcPr>
          <w:p w14:paraId="23DECFF0"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23</w:t>
            </w:r>
          </w:p>
        </w:tc>
        <w:tc>
          <w:tcPr>
            <w:tcW w:w="1442" w:type="dxa"/>
            <w:hideMark/>
          </w:tcPr>
          <w:p w14:paraId="35DBE4DB"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£55,147</w:t>
            </w:r>
          </w:p>
        </w:tc>
        <w:tc>
          <w:tcPr>
            <w:tcW w:w="1701" w:type="dxa"/>
            <w:hideMark/>
          </w:tcPr>
          <w:p w14:paraId="4FE78804"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£56,468</w:t>
            </w:r>
          </w:p>
        </w:tc>
        <w:tc>
          <w:tcPr>
            <w:tcW w:w="1701" w:type="dxa"/>
            <w:hideMark/>
          </w:tcPr>
          <w:p w14:paraId="0059CEDC"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2.4%</w:t>
            </w:r>
          </w:p>
        </w:tc>
        <w:tc>
          <w:tcPr>
            <w:tcW w:w="1560" w:type="dxa"/>
            <w:hideMark/>
          </w:tcPr>
          <w:p w14:paraId="05946FEA"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£55,147</w:t>
            </w:r>
          </w:p>
        </w:tc>
        <w:tc>
          <w:tcPr>
            <w:tcW w:w="1984" w:type="dxa"/>
            <w:hideMark/>
          </w:tcPr>
          <w:p w14:paraId="2A9628C6"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£56,598</w:t>
            </w:r>
          </w:p>
        </w:tc>
        <w:tc>
          <w:tcPr>
            <w:tcW w:w="2552" w:type="dxa"/>
            <w:hideMark/>
          </w:tcPr>
          <w:p w14:paraId="5DA70BE0"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2.6%</w:t>
            </w:r>
          </w:p>
        </w:tc>
      </w:tr>
      <w:tr w:rsidR="00184FD5" w:rsidRPr="00FA67FD" w14:paraId="439851C9" w14:textId="77777777" w:rsidTr="00A03923">
        <w:tc>
          <w:tcPr>
            <w:cnfStyle w:val="001000000000" w:firstRow="0" w:lastRow="0" w:firstColumn="1" w:lastColumn="0" w:oddVBand="0" w:evenVBand="0" w:oddHBand="0" w:evenHBand="0" w:firstRowFirstColumn="0" w:firstRowLastColumn="0" w:lastRowFirstColumn="0" w:lastRowLastColumn="0"/>
            <w:tcW w:w="0" w:type="auto"/>
            <w:hideMark/>
          </w:tcPr>
          <w:p w14:paraId="71B293C6" w14:textId="77777777" w:rsidR="00184FD5" w:rsidRPr="00FA67FD" w:rsidRDefault="00184FD5" w:rsidP="00A03923">
            <w:pPr>
              <w:spacing w:line="288" w:lineRule="auto"/>
              <w:rPr>
                <w:rFonts w:eastAsia="Calibri" w:cs="Times New Roman"/>
                <w:sz w:val="22"/>
                <w:szCs w:val="22"/>
              </w:rPr>
            </w:pPr>
            <w:r w:rsidRPr="00FA67FD">
              <w:rPr>
                <w:rFonts w:eastAsia="Calibri" w:cs="Times New Roman"/>
                <w:sz w:val="22"/>
                <w:szCs w:val="22"/>
              </w:rPr>
              <w:t>E-1</w:t>
            </w:r>
          </w:p>
        </w:tc>
        <w:tc>
          <w:tcPr>
            <w:tcW w:w="0" w:type="auto"/>
            <w:hideMark/>
          </w:tcPr>
          <w:p w14:paraId="6ADC19E0"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6</w:t>
            </w:r>
          </w:p>
        </w:tc>
        <w:tc>
          <w:tcPr>
            <w:tcW w:w="0" w:type="auto"/>
            <w:hideMark/>
          </w:tcPr>
          <w:p w14:paraId="18D98576"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8</w:t>
            </w:r>
          </w:p>
        </w:tc>
        <w:tc>
          <w:tcPr>
            <w:tcW w:w="1442" w:type="dxa"/>
            <w:hideMark/>
          </w:tcPr>
          <w:p w14:paraId="6BE1C6AC"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£72,211</w:t>
            </w:r>
          </w:p>
        </w:tc>
        <w:tc>
          <w:tcPr>
            <w:tcW w:w="1701" w:type="dxa"/>
            <w:hideMark/>
          </w:tcPr>
          <w:p w14:paraId="4F8FA746"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£72,494</w:t>
            </w:r>
          </w:p>
        </w:tc>
        <w:tc>
          <w:tcPr>
            <w:tcW w:w="1701" w:type="dxa"/>
            <w:hideMark/>
          </w:tcPr>
          <w:p w14:paraId="55110CC2"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0.4%</w:t>
            </w:r>
          </w:p>
        </w:tc>
        <w:tc>
          <w:tcPr>
            <w:tcW w:w="1560" w:type="dxa"/>
            <w:hideMark/>
          </w:tcPr>
          <w:p w14:paraId="07D92EBF"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£73,434</w:t>
            </w:r>
          </w:p>
        </w:tc>
        <w:tc>
          <w:tcPr>
            <w:tcW w:w="1984" w:type="dxa"/>
            <w:hideMark/>
          </w:tcPr>
          <w:p w14:paraId="31E30B56"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£72,494</w:t>
            </w:r>
          </w:p>
        </w:tc>
        <w:tc>
          <w:tcPr>
            <w:tcW w:w="2552" w:type="dxa"/>
            <w:hideMark/>
          </w:tcPr>
          <w:p w14:paraId="6E36B3B0" w14:textId="77777777" w:rsidR="00184FD5" w:rsidRPr="00FA67FD"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-1.3%</w:t>
            </w:r>
          </w:p>
        </w:tc>
      </w:tr>
      <w:tr w:rsidR="00184FD5" w:rsidRPr="00FA67FD" w14:paraId="087B1226" w14:textId="77777777" w:rsidTr="00A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8666C2" w14:textId="77777777" w:rsidR="00184FD5" w:rsidRPr="00FA67FD" w:rsidRDefault="00184FD5" w:rsidP="00A03923">
            <w:pPr>
              <w:spacing w:line="288" w:lineRule="auto"/>
              <w:rPr>
                <w:rFonts w:eastAsia="Calibri" w:cs="Times New Roman"/>
                <w:sz w:val="22"/>
                <w:szCs w:val="22"/>
              </w:rPr>
            </w:pPr>
            <w:r w:rsidRPr="00FA67FD">
              <w:rPr>
                <w:rFonts w:eastAsia="Calibri" w:cs="Times New Roman"/>
                <w:sz w:val="22"/>
                <w:szCs w:val="22"/>
              </w:rPr>
              <w:t>CEO and Directors</w:t>
            </w:r>
          </w:p>
        </w:tc>
        <w:tc>
          <w:tcPr>
            <w:tcW w:w="0" w:type="auto"/>
            <w:hideMark/>
          </w:tcPr>
          <w:p w14:paraId="5020F90B"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3</w:t>
            </w:r>
          </w:p>
        </w:tc>
        <w:tc>
          <w:tcPr>
            <w:tcW w:w="0" w:type="auto"/>
            <w:hideMark/>
          </w:tcPr>
          <w:p w14:paraId="1BFEE94C"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w:t>
            </w:r>
          </w:p>
        </w:tc>
        <w:tc>
          <w:tcPr>
            <w:tcW w:w="1442" w:type="dxa"/>
            <w:hideMark/>
          </w:tcPr>
          <w:p w14:paraId="1D48DB55"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£103,017</w:t>
            </w:r>
          </w:p>
        </w:tc>
        <w:tc>
          <w:tcPr>
            <w:tcW w:w="1701" w:type="dxa"/>
            <w:hideMark/>
          </w:tcPr>
          <w:p w14:paraId="0F1313BD"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£125,201</w:t>
            </w:r>
          </w:p>
        </w:tc>
        <w:tc>
          <w:tcPr>
            <w:tcW w:w="1701" w:type="dxa"/>
            <w:hideMark/>
          </w:tcPr>
          <w:p w14:paraId="69E8F48D"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21.5%</w:t>
            </w:r>
          </w:p>
        </w:tc>
        <w:tc>
          <w:tcPr>
            <w:tcW w:w="1560" w:type="dxa"/>
            <w:hideMark/>
          </w:tcPr>
          <w:p w14:paraId="36218788"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£106,301</w:t>
            </w:r>
          </w:p>
        </w:tc>
        <w:tc>
          <w:tcPr>
            <w:tcW w:w="1984" w:type="dxa"/>
            <w:hideMark/>
          </w:tcPr>
          <w:p w14:paraId="3F59395C"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£125,201</w:t>
            </w:r>
          </w:p>
        </w:tc>
        <w:tc>
          <w:tcPr>
            <w:tcW w:w="2552" w:type="dxa"/>
            <w:hideMark/>
          </w:tcPr>
          <w:p w14:paraId="5CFA46CD" w14:textId="77777777" w:rsidR="00184FD5" w:rsidRPr="00FA67FD"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FA67FD">
              <w:rPr>
                <w:rFonts w:eastAsia="Calibri" w:cs="Times New Roman"/>
                <w:sz w:val="22"/>
                <w:szCs w:val="22"/>
              </w:rPr>
              <w:t>17.8%</w:t>
            </w:r>
          </w:p>
        </w:tc>
      </w:tr>
    </w:tbl>
    <w:p w14:paraId="53292FED" w14:textId="12E67E8B" w:rsidR="00FA67FD" w:rsidRPr="00FA67FD" w:rsidRDefault="00FA67FD" w:rsidP="00FA67FD">
      <w:pPr>
        <w:pStyle w:val="4Bulletlist"/>
        <w:numPr>
          <w:ilvl w:val="0"/>
          <w:numId w:val="0"/>
        </w:numPr>
        <w:rPr>
          <w:lang w:eastAsia="en-GB"/>
        </w:rPr>
      </w:pPr>
      <w:r w:rsidRPr="00FA67FD">
        <w:rPr>
          <w:lang w:eastAsia="en-GB"/>
        </w:rPr>
        <w:t>Source: Assembly Commission HR Payroll IT Reporting System</w:t>
      </w:r>
    </w:p>
    <w:p w14:paraId="69E671ED" w14:textId="2F9144E8" w:rsidR="00FA67FD" w:rsidRDefault="00FA67FD">
      <w:pPr>
        <w:spacing w:before="0" w:after="160" w:line="259" w:lineRule="auto"/>
        <w:rPr>
          <w:color w:val="414042"/>
          <w:kern w:val="24"/>
          <w:lang w:eastAsia="en-GB"/>
        </w:rPr>
      </w:pPr>
      <w:r>
        <w:rPr>
          <w:lang w:eastAsia="en-GB"/>
        </w:rPr>
        <w:br w:type="page"/>
      </w:r>
    </w:p>
    <w:p w14:paraId="42102F99" w14:textId="2D1B70F1" w:rsidR="00634FE8" w:rsidRDefault="00634FE8" w:rsidP="00634FE8">
      <w:pPr>
        <w:pStyle w:val="Caption"/>
        <w:keepNext/>
      </w:pPr>
      <w:r>
        <w:lastRenderedPageBreak/>
        <w:t xml:space="preserve">Table </w:t>
      </w:r>
      <w:fldSimple w:instr=" SEQ Table \* ARABIC ">
        <w:r w:rsidR="00332158">
          <w:rPr>
            <w:noProof/>
          </w:rPr>
          <w:t>20</w:t>
        </w:r>
      </w:fldSimple>
      <w:r>
        <w:t xml:space="preserve">: </w:t>
      </w:r>
      <w:r w:rsidRPr="000818CC">
        <w:t>Median Salaries of Men and Women by Grade</w:t>
      </w:r>
    </w:p>
    <w:tbl>
      <w:tblPr>
        <w:tblStyle w:val="GridTable4-Accent4"/>
        <w:tblW w:w="5000" w:type="pct"/>
        <w:tblLook w:val="04A0" w:firstRow="1" w:lastRow="0" w:firstColumn="1" w:lastColumn="0" w:noHBand="0" w:noVBand="1"/>
      </w:tblPr>
      <w:tblGrid>
        <w:gridCol w:w="2647"/>
        <w:gridCol w:w="1774"/>
        <w:gridCol w:w="1996"/>
        <w:gridCol w:w="2091"/>
        <w:gridCol w:w="322"/>
        <w:gridCol w:w="1934"/>
        <w:gridCol w:w="1934"/>
        <w:gridCol w:w="2088"/>
      </w:tblGrid>
      <w:tr w:rsidR="00FA67FD" w:rsidRPr="00FA67FD" w14:paraId="7F040ED1" w14:textId="77777777" w:rsidTr="00A03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tcPr>
          <w:p w14:paraId="7AC0A1DC" w14:textId="77777777" w:rsidR="00FA67FD" w:rsidRPr="00FA67FD" w:rsidRDefault="00FA67FD" w:rsidP="00A03923">
            <w:pPr>
              <w:spacing w:line="288" w:lineRule="auto"/>
              <w:rPr>
                <w:rFonts w:eastAsia="Cynulliad Sans" w:cs="Times New Roman"/>
                <w:b w:val="0"/>
                <w:sz w:val="22"/>
                <w:szCs w:val="22"/>
              </w:rPr>
            </w:pPr>
          </w:p>
        </w:tc>
        <w:tc>
          <w:tcPr>
            <w:tcW w:w="1275" w:type="pct"/>
            <w:gridSpan w:val="2"/>
            <w:hideMark/>
          </w:tcPr>
          <w:p w14:paraId="4B0E81C9" w14:textId="77777777" w:rsidR="00FA67FD" w:rsidRPr="00FA67FD" w:rsidRDefault="00FA67FD"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FA67FD">
              <w:rPr>
                <w:rFonts w:eastAsia="Cynulliad Sans" w:cs="Times New Roman"/>
                <w:b w:val="0"/>
                <w:sz w:val="22"/>
                <w:szCs w:val="22"/>
              </w:rPr>
              <w:t>Basic FTE median salary</w:t>
            </w:r>
          </w:p>
        </w:tc>
        <w:tc>
          <w:tcPr>
            <w:tcW w:w="707" w:type="pct"/>
            <w:vMerge w:val="restart"/>
            <w:hideMark/>
          </w:tcPr>
          <w:p w14:paraId="0695E872" w14:textId="77777777" w:rsidR="00FA67FD" w:rsidRPr="00FA67FD" w:rsidRDefault="00FA67FD"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FA67FD">
              <w:rPr>
                <w:rFonts w:eastAsia="Cynulliad Sans" w:cs="Times New Roman"/>
                <w:b w:val="0"/>
                <w:sz w:val="22"/>
                <w:szCs w:val="22"/>
              </w:rPr>
              <w:t>% Difference</w:t>
            </w:r>
          </w:p>
        </w:tc>
        <w:tc>
          <w:tcPr>
            <w:tcW w:w="109" w:type="pct"/>
          </w:tcPr>
          <w:p w14:paraId="40030A85" w14:textId="77777777" w:rsidR="00FA67FD" w:rsidRPr="00FA67FD" w:rsidRDefault="00FA67FD"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sz w:val="22"/>
                <w:szCs w:val="22"/>
              </w:rPr>
            </w:pPr>
          </w:p>
        </w:tc>
        <w:tc>
          <w:tcPr>
            <w:tcW w:w="1308" w:type="pct"/>
            <w:gridSpan w:val="2"/>
            <w:hideMark/>
          </w:tcPr>
          <w:p w14:paraId="4FB7777E" w14:textId="77777777" w:rsidR="00FA67FD" w:rsidRPr="00FA67FD" w:rsidRDefault="00FA67FD"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FA67FD">
              <w:rPr>
                <w:rFonts w:eastAsia="Cynulliad Sans" w:cs="Times New Roman"/>
                <w:b w:val="0"/>
                <w:sz w:val="22"/>
                <w:szCs w:val="22"/>
              </w:rPr>
              <w:t xml:space="preserve">Total FTE median salary </w:t>
            </w:r>
          </w:p>
        </w:tc>
        <w:tc>
          <w:tcPr>
            <w:tcW w:w="706" w:type="pct"/>
            <w:vMerge w:val="restart"/>
            <w:hideMark/>
          </w:tcPr>
          <w:p w14:paraId="4C6FFB2F" w14:textId="77777777" w:rsidR="00FA67FD" w:rsidRPr="00FA67FD" w:rsidRDefault="00FA67FD"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FA67FD">
              <w:rPr>
                <w:rFonts w:eastAsia="Cynulliad Sans" w:cs="Times New Roman"/>
                <w:b w:val="0"/>
                <w:sz w:val="22"/>
                <w:szCs w:val="22"/>
              </w:rPr>
              <w:t>% Difference</w:t>
            </w:r>
          </w:p>
        </w:tc>
      </w:tr>
      <w:tr w:rsidR="00FA67FD" w:rsidRPr="00FA67FD" w14:paraId="0B0A85E8" w14:textId="77777777" w:rsidTr="00E94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shd w:val="clear" w:color="auto" w:fill="34A3AE"/>
            <w:hideMark/>
          </w:tcPr>
          <w:p w14:paraId="59B95279" w14:textId="77777777" w:rsidR="00FA67FD" w:rsidRPr="00E94285" w:rsidRDefault="00FA67FD" w:rsidP="00A03923">
            <w:pPr>
              <w:spacing w:line="288" w:lineRule="auto"/>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Grade</w:t>
            </w:r>
          </w:p>
        </w:tc>
        <w:tc>
          <w:tcPr>
            <w:tcW w:w="600" w:type="pct"/>
            <w:shd w:val="clear" w:color="auto" w:fill="34A3AE"/>
            <w:hideMark/>
          </w:tcPr>
          <w:p w14:paraId="359DD130"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Male</w:t>
            </w:r>
          </w:p>
        </w:tc>
        <w:tc>
          <w:tcPr>
            <w:tcW w:w="675" w:type="pct"/>
            <w:shd w:val="clear" w:color="auto" w:fill="34A3AE"/>
            <w:hideMark/>
          </w:tcPr>
          <w:p w14:paraId="026EE121"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Female</w:t>
            </w:r>
          </w:p>
        </w:tc>
        <w:tc>
          <w:tcPr>
            <w:tcW w:w="0" w:type="auto"/>
            <w:vMerge/>
            <w:shd w:val="clear" w:color="auto" w:fill="34A3AE"/>
            <w:hideMark/>
          </w:tcPr>
          <w:p w14:paraId="72BF556C"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p>
        </w:tc>
        <w:tc>
          <w:tcPr>
            <w:tcW w:w="109" w:type="pct"/>
            <w:shd w:val="clear" w:color="auto" w:fill="34A3AE"/>
          </w:tcPr>
          <w:p w14:paraId="313D1769"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p>
        </w:tc>
        <w:tc>
          <w:tcPr>
            <w:tcW w:w="654" w:type="pct"/>
            <w:shd w:val="clear" w:color="auto" w:fill="34A3AE"/>
            <w:hideMark/>
          </w:tcPr>
          <w:p w14:paraId="0FB7D56A"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Male</w:t>
            </w:r>
          </w:p>
        </w:tc>
        <w:tc>
          <w:tcPr>
            <w:tcW w:w="654" w:type="pct"/>
            <w:shd w:val="clear" w:color="auto" w:fill="34A3AE"/>
            <w:hideMark/>
          </w:tcPr>
          <w:p w14:paraId="1A82F4D0" w14:textId="77777777" w:rsidR="00FA67FD" w:rsidRPr="00E94285"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Female</w:t>
            </w:r>
          </w:p>
        </w:tc>
        <w:tc>
          <w:tcPr>
            <w:tcW w:w="0" w:type="auto"/>
            <w:vMerge/>
            <w:hideMark/>
          </w:tcPr>
          <w:p w14:paraId="2CF696F8"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r>
      <w:tr w:rsidR="00FA67FD" w:rsidRPr="00FA67FD" w14:paraId="7B6C0392" w14:textId="77777777" w:rsidTr="00E94285">
        <w:tc>
          <w:tcPr>
            <w:cnfStyle w:val="001000000000" w:firstRow="0" w:lastRow="0" w:firstColumn="1" w:lastColumn="0" w:oddVBand="0" w:evenVBand="0" w:oddHBand="0" w:evenHBand="0" w:firstRowFirstColumn="0" w:firstRowLastColumn="0" w:lastRowFirstColumn="0" w:lastRowLastColumn="0"/>
            <w:tcW w:w="895" w:type="pct"/>
            <w:hideMark/>
          </w:tcPr>
          <w:p w14:paraId="2DBFD8A5" w14:textId="77777777" w:rsidR="00FA67FD" w:rsidRPr="00FA67FD" w:rsidRDefault="00FA67FD" w:rsidP="00A03923">
            <w:pPr>
              <w:spacing w:line="288" w:lineRule="auto"/>
              <w:rPr>
                <w:rFonts w:eastAsia="Cynulliad Sans" w:cs="Times New Roman"/>
                <w:sz w:val="22"/>
                <w:szCs w:val="22"/>
              </w:rPr>
            </w:pPr>
            <w:r w:rsidRPr="00FA67FD">
              <w:rPr>
                <w:rFonts w:eastAsia="Cynulliad Sans" w:cs="Times New Roman"/>
                <w:sz w:val="22"/>
                <w:szCs w:val="22"/>
              </w:rPr>
              <w:t>Apprentice</w:t>
            </w:r>
          </w:p>
        </w:tc>
        <w:tc>
          <w:tcPr>
            <w:tcW w:w="600" w:type="pct"/>
            <w:hideMark/>
          </w:tcPr>
          <w:p w14:paraId="33E6F0BB"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£16,258</w:t>
            </w:r>
          </w:p>
        </w:tc>
        <w:tc>
          <w:tcPr>
            <w:tcW w:w="675" w:type="pct"/>
            <w:hideMark/>
          </w:tcPr>
          <w:p w14:paraId="3DAE1804"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£16,258</w:t>
            </w:r>
          </w:p>
        </w:tc>
        <w:tc>
          <w:tcPr>
            <w:tcW w:w="707" w:type="pct"/>
            <w:hideMark/>
          </w:tcPr>
          <w:p w14:paraId="5ADC2260"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0.0%</w:t>
            </w:r>
          </w:p>
        </w:tc>
        <w:tc>
          <w:tcPr>
            <w:tcW w:w="109" w:type="pct"/>
            <w:shd w:val="clear" w:color="auto" w:fill="34A3AE"/>
          </w:tcPr>
          <w:p w14:paraId="4A1F9D4F"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p>
        </w:tc>
        <w:tc>
          <w:tcPr>
            <w:tcW w:w="654" w:type="pct"/>
            <w:hideMark/>
          </w:tcPr>
          <w:p w14:paraId="39E2B0C6"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£16,258</w:t>
            </w:r>
          </w:p>
        </w:tc>
        <w:tc>
          <w:tcPr>
            <w:tcW w:w="654" w:type="pct"/>
            <w:hideMark/>
          </w:tcPr>
          <w:p w14:paraId="48A463F0"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£16,258</w:t>
            </w:r>
          </w:p>
        </w:tc>
        <w:tc>
          <w:tcPr>
            <w:tcW w:w="706" w:type="pct"/>
            <w:hideMark/>
          </w:tcPr>
          <w:p w14:paraId="659AB704"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0.0%</w:t>
            </w:r>
          </w:p>
        </w:tc>
      </w:tr>
      <w:tr w:rsidR="00FA67FD" w:rsidRPr="00FA67FD" w14:paraId="0C1E7885" w14:textId="77777777" w:rsidTr="00E94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hideMark/>
          </w:tcPr>
          <w:p w14:paraId="79D1E030" w14:textId="77777777" w:rsidR="00FA67FD" w:rsidRPr="00FA67FD" w:rsidRDefault="00FA67FD" w:rsidP="00A03923">
            <w:pPr>
              <w:spacing w:line="288" w:lineRule="auto"/>
              <w:rPr>
                <w:rFonts w:eastAsia="Cynulliad Sans" w:cs="Times New Roman"/>
                <w:sz w:val="22"/>
                <w:szCs w:val="22"/>
              </w:rPr>
            </w:pPr>
            <w:r w:rsidRPr="00FA67FD">
              <w:rPr>
                <w:rFonts w:eastAsia="Cynulliad Sans" w:cs="Times New Roman"/>
                <w:sz w:val="22"/>
                <w:szCs w:val="22"/>
              </w:rPr>
              <w:t>TS</w:t>
            </w:r>
          </w:p>
        </w:tc>
        <w:tc>
          <w:tcPr>
            <w:tcW w:w="600" w:type="pct"/>
            <w:hideMark/>
          </w:tcPr>
          <w:p w14:paraId="03927DDD"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£22,067</w:t>
            </w:r>
          </w:p>
        </w:tc>
        <w:tc>
          <w:tcPr>
            <w:tcW w:w="675" w:type="pct"/>
            <w:hideMark/>
          </w:tcPr>
          <w:p w14:paraId="25F33478"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£22,067</w:t>
            </w:r>
          </w:p>
        </w:tc>
        <w:tc>
          <w:tcPr>
            <w:tcW w:w="707" w:type="pct"/>
            <w:hideMark/>
          </w:tcPr>
          <w:p w14:paraId="7E30A75F"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0.0%</w:t>
            </w:r>
          </w:p>
        </w:tc>
        <w:tc>
          <w:tcPr>
            <w:tcW w:w="109" w:type="pct"/>
            <w:shd w:val="clear" w:color="auto" w:fill="34A3AE"/>
          </w:tcPr>
          <w:p w14:paraId="2B91E82A"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c>
          <w:tcPr>
            <w:tcW w:w="654" w:type="pct"/>
            <w:hideMark/>
          </w:tcPr>
          <w:p w14:paraId="17846874"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£22,067</w:t>
            </w:r>
          </w:p>
        </w:tc>
        <w:tc>
          <w:tcPr>
            <w:tcW w:w="654" w:type="pct"/>
            <w:hideMark/>
          </w:tcPr>
          <w:p w14:paraId="4DA7F1C6"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£22,067</w:t>
            </w:r>
          </w:p>
        </w:tc>
        <w:tc>
          <w:tcPr>
            <w:tcW w:w="706" w:type="pct"/>
            <w:hideMark/>
          </w:tcPr>
          <w:p w14:paraId="3EF30548"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0.0%</w:t>
            </w:r>
          </w:p>
        </w:tc>
      </w:tr>
      <w:tr w:rsidR="00FA67FD" w:rsidRPr="00FA67FD" w14:paraId="5476DFD4" w14:textId="77777777" w:rsidTr="00E94285">
        <w:tc>
          <w:tcPr>
            <w:cnfStyle w:val="001000000000" w:firstRow="0" w:lastRow="0" w:firstColumn="1" w:lastColumn="0" w:oddVBand="0" w:evenVBand="0" w:oddHBand="0" w:evenHBand="0" w:firstRowFirstColumn="0" w:firstRowLastColumn="0" w:lastRowFirstColumn="0" w:lastRowLastColumn="0"/>
            <w:tcW w:w="895" w:type="pct"/>
            <w:hideMark/>
          </w:tcPr>
          <w:p w14:paraId="0802463C" w14:textId="77777777" w:rsidR="00FA67FD" w:rsidRPr="00FA67FD" w:rsidRDefault="00FA67FD" w:rsidP="00A03923">
            <w:pPr>
              <w:spacing w:line="288" w:lineRule="auto"/>
              <w:rPr>
                <w:rFonts w:eastAsia="Cynulliad Sans" w:cs="Times New Roman"/>
                <w:sz w:val="22"/>
                <w:szCs w:val="22"/>
              </w:rPr>
            </w:pPr>
            <w:r w:rsidRPr="00FA67FD">
              <w:rPr>
                <w:rFonts w:eastAsia="Cynulliad Sans" w:cs="Times New Roman"/>
                <w:sz w:val="22"/>
                <w:szCs w:val="22"/>
              </w:rPr>
              <w:t>M-3</w:t>
            </w:r>
          </w:p>
        </w:tc>
        <w:tc>
          <w:tcPr>
            <w:tcW w:w="600" w:type="pct"/>
            <w:hideMark/>
          </w:tcPr>
          <w:p w14:paraId="5A4D1CF3"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£27,806</w:t>
            </w:r>
          </w:p>
        </w:tc>
        <w:tc>
          <w:tcPr>
            <w:tcW w:w="675" w:type="pct"/>
            <w:hideMark/>
          </w:tcPr>
          <w:p w14:paraId="5B5C761C"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£27,806</w:t>
            </w:r>
          </w:p>
        </w:tc>
        <w:tc>
          <w:tcPr>
            <w:tcW w:w="707" w:type="pct"/>
            <w:hideMark/>
          </w:tcPr>
          <w:p w14:paraId="052BF63A"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0.0%</w:t>
            </w:r>
          </w:p>
        </w:tc>
        <w:tc>
          <w:tcPr>
            <w:tcW w:w="109" w:type="pct"/>
            <w:shd w:val="clear" w:color="auto" w:fill="34A3AE"/>
          </w:tcPr>
          <w:p w14:paraId="0291D1B0"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p>
        </w:tc>
        <w:tc>
          <w:tcPr>
            <w:tcW w:w="654" w:type="pct"/>
            <w:hideMark/>
          </w:tcPr>
          <w:p w14:paraId="2F25EC69"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£27,806</w:t>
            </w:r>
          </w:p>
        </w:tc>
        <w:tc>
          <w:tcPr>
            <w:tcW w:w="654" w:type="pct"/>
            <w:hideMark/>
          </w:tcPr>
          <w:p w14:paraId="5CEB36B6"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£27,806</w:t>
            </w:r>
          </w:p>
        </w:tc>
        <w:tc>
          <w:tcPr>
            <w:tcW w:w="706" w:type="pct"/>
            <w:hideMark/>
          </w:tcPr>
          <w:p w14:paraId="469EC84C"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0.0%</w:t>
            </w:r>
          </w:p>
        </w:tc>
      </w:tr>
      <w:tr w:rsidR="00FA67FD" w:rsidRPr="00FA67FD" w14:paraId="065E3E7C" w14:textId="77777777" w:rsidTr="00E94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hideMark/>
          </w:tcPr>
          <w:p w14:paraId="6F75A825" w14:textId="77777777" w:rsidR="00FA67FD" w:rsidRPr="00FA67FD" w:rsidRDefault="00FA67FD" w:rsidP="00A03923">
            <w:pPr>
              <w:spacing w:line="288" w:lineRule="auto"/>
              <w:rPr>
                <w:rFonts w:eastAsia="Cynulliad Sans" w:cs="Times New Roman"/>
                <w:sz w:val="22"/>
                <w:szCs w:val="22"/>
              </w:rPr>
            </w:pPr>
            <w:r w:rsidRPr="00FA67FD">
              <w:rPr>
                <w:rFonts w:eastAsia="Cynulliad Sans" w:cs="Times New Roman"/>
                <w:sz w:val="22"/>
                <w:szCs w:val="22"/>
              </w:rPr>
              <w:t xml:space="preserve">M-2 </w:t>
            </w:r>
          </w:p>
        </w:tc>
        <w:tc>
          <w:tcPr>
            <w:tcW w:w="600" w:type="pct"/>
            <w:hideMark/>
          </w:tcPr>
          <w:p w14:paraId="0FC0955F"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£34,673</w:t>
            </w:r>
          </w:p>
        </w:tc>
        <w:tc>
          <w:tcPr>
            <w:tcW w:w="675" w:type="pct"/>
            <w:hideMark/>
          </w:tcPr>
          <w:p w14:paraId="6A2F0FC9"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£36,453</w:t>
            </w:r>
          </w:p>
        </w:tc>
        <w:tc>
          <w:tcPr>
            <w:tcW w:w="707" w:type="pct"/>
            <w:hideMark/>
          </w:tcPr>
          <w:p w14:paraId="2A7D8DA7"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5.1%</w:t>
            </w:r>
          </w:p>
        </w:tc>
        <w:tc>
          <w:tcPr>
            <w:tcW w:w="109" w:type="pct"/>
            <w:shd w:val="clear" w:color="auto" w:fill="34A3AE"/>
          </w:tcPr>
          <w:p w14:paraId="2DB00E45"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c>
          <w:tcPr>
            <w:tcW w:w="654" w:type="pct"/>
            <w:hideMark/>
          </w:tcPr>
          <w:p w14:paraId="5620354C"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£34,673</w:t>
            </w:r>
          </w:p>
        </w:tc>
        <w:tc>
          <w:tcPr>
            <w:tcW w:w="654" w:type="pct"/>
            <w:hideMark/>
          </w:tcPr>
          <w:p w14:paraId="2CA98259"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£36,453</w:t>
            </w:r>
          </w:p>
        </w:tc>
        <w:tc>
          <w:tcPr>
            <w:tcW w:w="706" w:type="pct"/>
            <w:hideMark/>
          </w:tcPr>
          <w:p w14:paraId="7DFA4CB9"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5.1%</w:t>
            </w:r>
          </w:p>
        </w:tc>
      </w:tr>
      <w:tr w:rsidR="00FA67FD" w:rsidRPr="00FA67FD" w14:paraId="72D0F78A" w14:textId="77777777" w:rsidTr="00E94285">
        <w:tc>
          <w:tcPr>
            <w:cnfStyle w:val="001000000000" w:firstRow="0" w:lastRow="0" w:firstColumn="1" w:lastColumn="0" w:oddVBand="0" w:evenVBand="0" w:oddHBand="0" w:evenHBand="0" w:firstRowFirstColumn="0" w:firstRowLastColumn="0" w:lastRowFirstColumn="0" w:lastRowLastColumn="0"/>
            <w:tcW w:w="895" w:type="pct"/>
            <w:hideMark/>
          </w:tcPr>
          <w:p w14:paraId="688FD676" w14:textId="77777777" w:rsidR="00FA67FD" w:rsidRPr="00FA67FD" w:rsidRDefault="00FA67FD" w:rsidP="00A03923">
            <w:pPr>
              <w:spacing w:line="288" w:lineRule="auto"/>
              <w:rPr>
                <w:rFonts w:eastAsia="Cynulliad Sans" w:cs="Times New Roman"/>
                <w:sz w:val="22"/>
                <w:szCs w:val="22"/>
              </w:rPr>
            </w:pPr>
            <w:r w:rsidRPr="00FA67FD">
              <w:rPr>
                <w:rFonts w:eastAsia="Cynulliad Sans" w:cs="Times New Roman"/>
                <w:sz w:val="22"/>
                <w:szCs w:val="22"/>
              </w:rPr>
              <w:t>M-1</w:t>
            </w:r>
          </w:p>
        </w:tc>
        <w:tc>
          <w:tcPr>
            <w:tcW w:w="600" w:type="pct"/>
            <w:hideMark/>
          </w:tcPr>
          <w:p w14:paraId="71236EA4"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£40,962</w:t>
            </w:r>
          </w:p>
        </w:tc>
        <w:tc>
          <w:tcPr>
            <w:tcW w:w="675" w:type="pct"/>
            <w:hideMark/>
          </w:tcPr>
          <w:p w14:paraId="77587A7E"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£46,116</w:t>
            </w:r>
          </w:p>
        </w:tc>
        <w:tc>
          <w:tcPr>
            <w:tcW w:w="707" w:type="pct"/>
            <w:hideMark/>
          </w:tcPr>
          <w:p w14:paraId="186029CA"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12.6%</w:t>
            </w:r>
          </w:p>
        </w:tc>
        <w:tc>
          <w:tcPr>
            <w:tcW w:w="109" w:type="pct"/>
            <w:shd w:val="clear" w:color="auto" w:fill="34A3AE"/>
          </w:tcPr>
          <w:p w14:paraId="3C2FE128"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p>
        </w:tc>
        <w:tc>
          <w:tcPr>
            <w:tcW w:w="654" w:type="pct"/>
            <w:hideMark/>
          </w:tcPr>
          <w:p w14:paraId="13DD8CE8"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£40,962</w:t>
            </w:r>
          </w:p>
        </w:tc>
        <w:tc>
          <w:tcPr>
            <w:tcW w:w="654" w:type="pct"/>
            <w:hideMark/>
          </w:tcPr>
          <w:p w14:paraId="35735DCC"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£46,116</w:t>
            </w:r>
          </w:p>
        </w:tc>
        <w:tc>
          <w:tcPr>
            <w:tcW w:w="706" w:type="pct"/>
            <w:hideMark/>
          </w:tcPr>
          <w:p w14:paraId="25E239D2"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12.6%</w:t>
            </w:r>
          </w:p>
        </w:tc>
      </w:tr>
      <w:tr w:rsidR="00FA67FD" w:rsidRPr="00FA67FD" w14:paraId="4E1E9EC0" w14:textId="77777777" w:rsidTr="00E94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hideMark/>
          </w:tcPr>
          <w:p w14:paraId="55B5698F" w14:textId="77777777" w:rsidR="00FA67FD" w:rsidRPr="00FA67FD" w:rsidRDefault="00FA67FD" w:rsidP="00A03923">
            <w:pPr>
              <w:spacing w:line="288" w:lineRule="auto"/>
              <w:rPr>
                <w:rFonts w:eastAsia="Cynulliad Sans" w:cs="Times New Roman"/>
                <w:sz w:val="22"/>
                <w:szCs w:val="22"/>
              </w:rPr>
            </w:pPr>
            <w:r w:rsidRPr="00FA67FD">
              <w:rPr>
                <w:rFonts w:eastAsia="Cynulliad Sans" w:cs="Times New Roman"/>
                <w:sz w:val="22"/>
                <w:szCs w:val="22"/>
              </w:rPr>
              <w:t>E-2</w:t>
            </w:r>
          </w:p>
        </w:tc>
        <w:tc>
          <w:tcPr>
            <w:tcW w:w="600" w:type="pct"/>
            <w:hideMark/>
          </w:tcPr>
          <w:p w14:paraId="2B9F79AD"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£54,119</w:t>
            </w:r>
          </w:p>
        </w:tc>
        <w:tc>
          <w:tcPr>
            <w:tcW w:w="675" w:type="pct"/>
            <w:hideMark/>
          </w:tcPr>
          <w:p w14:paraId="200BBCD0"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£59,729</w:t>
            </w:r>
          </w:p>
        </w:tc>
        <w:tc>
          <w:tcPr>
            <w:tcW w:w="707" w:type="pct"/>
            <w:hideMark/>
          </w:tcPr>
          <w:p w14:paraId="7D573EAB"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10.4%</w:t>
            </w:r>
          </w:p>
        </w:tc>
        <w:tc>
          <w:tcPr>
            <w:tcW w:w="109" w:type="pct"/>
            <w:shd w:val="clear" w:color="auto" w:fill="34A3AE"/>
          </w:tcPr>
          <w:p w14:paraId="170C0E6D"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c>
          <w:tcPr>
            <w:tcW w:w="654" w:type="pct"/>
            <w:hideMark/>
          </w:tcPr>
          <w:p w14:paraId="44921914"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£54,119</w:t>
            </w:r>
          </w:p>
        </w:tc>
        <w:tc>
          <w:tcPr>
            <w:tcW w:w="654" w:type="pct"/>
            <w:hideMark/>
          </w:tcPr>
          <w:p w14:paraId="33D8F7EC"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£59,729</w:t>
            </w:r>
          </w:p>
        </w:tc>
        <w:tc>
          <w:tcPr>
            <w:tcW w:w="706" w:type="pct"/>
            <w:hideMark/>
          </w:tcPr>
          <w:p w14:paraId="25ABE28A"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10.4%</w:t>
            </w:r>
          </w:p>
        </w:tc>
      </w:tr>
      <w:tr w:rsidR="00FA67FD" w:rsidRPr="00FA67FD" w14:paraId="272D2DCC" w14:textId="77777777" w:rsidTr="00E94285">
        <w:tc>
          <w:tcPr>
            <w:cnfStyle w:val="001000000000" w:firstRow="0" w:lastRow="0" w:firstColumn="1" w:lastColumn="0" w:oddVBand="0" w:evenVBand="0" w:oddHBand="0" w:evenHBand="0" w:firstRowFirstColumn="0" w:firstRowLastColumn="0" w:lastRowFirstColumn="0" w:lastRowLastColumn="0"/>
            <w:tcW w:w="895" w:type="pct"/>
            <w:hideMark/>
          </w:tcPr>
          <w:p w14:paraId="07BD04B2" w14:textId="77777777" w:rsidR="00FA67FD" w:rsidRPr="00FA67FD" w:rsidRDefault="00FA67FD" w:rsidP="00A03923">
            <w:pPr>
              <w:spacing w:line="288" w:lineRule="auto"/>
              <w:rPr>
                <w:rFonts w:eastAsia="Cynulliad Sans" w:cs="Times New Roman"/>
                <w:sz w:val="22"/>
                <w:szCs w:val="22"/>
              </w:rPr>
            </w:pPr>
            <w:r w:rsidRPr="00FA67FD">
              <w:rPr>
                <w:rFonts w:eastAsia="Cynulliad Sans" w:cs="Times New Roman"/>
                <w:sz w:val="22"/>
                <w:szCs w:val="22"/>
              </w:rPr>
              <w:t>E-1</w:t>
            </w:r>
          </w:p>
        </w:tc>
        <w:tc>
          <w:tcPr>
            <w:tcW w:w="600" w:type="pct"/>
            <w:hideMark/>
          </w:tcPr>
          <w:p w14:paraId="7969C513"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£73,343</w:t>
            </w:r>
          </w:p>
        </w:tc>
        <w:tc>
          <w:tcPr>
            <w:tcW w:w="675" w:type="pct"/>
            <w:hideMark/>
          </w:tcPr>
          <w:p w14:paraId="69BA74BE"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£73,343</w:t>
            </w:r>
          </w:p>
        </w:tc>
        <w:tc>
          <w:tcPr>
            <w:tcW w:w="707" w:type="pct"/>
            <w:hideMark/>
          </w:tcPr>
          <w:p w14:paraId="311D8D31"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0.0%</w:t>
            </w:r>
          </w:p>
        </w:tc>
        <w:tc>
          <w:tcPr>
            <w:tcW w:w="109" w:type="pct"/>
            <w:shd w:val="clear" w:color="auto" w:fill="34A3AE"/>
          </w:tcPr>
          <w:p w14:paraId="55BE676B"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p>
        </w:tc>
        <w:tc>
          <w:tcPr>
            <w:tcW w:w="654" w:type="pct"/>
            <w:hideMark/>
          </w:tcPr>
          <w:p w14:paraId="04924CD1"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£73,343</w:t>
            </w:r>
          </w:p>
        </w:tc>
        <w:tc>
          <w:tcPr>
            <w:tcW w:w="654" w:type="pct"/>
            <w:hideMark/>
          </w:tcPr>
          <w:p w14:paraId="7B999256"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£73,343</w:t>
            </w:r>
          </w:p>
        </w:tc>
        <w:tc>
          <w:tcPr>
            <w:tcW w:w="706" w:type="pct"/>
            <w:hideMark/>
          </w:tcPr>
          <w:p w14:paraId="4D8FF815" w14:textId="77777777" w:rsidR="00FA67FD" w:rsidRPr="00FA67FD" w:rsidRDefault="00FA67FD"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0.0%</w:t>
            </w:r>
          </w:p>
        </w:tc>
      </w:tr>
      <w:tr w:rsidR="00FA67FD" w:rsidRPr="00FA67FD" w14:paraId="155C79D6" w14:textId="77777777" w:rsidTr="00E94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hideMark/>
          </w:tcPr>
          <w:p w14:paraId="0B42C1BB" w14:textId="77777777" w:rsidR="00FA67FD" w:rsidRPr="00FA67FD" w:rsidRDefault="00FA67FD" w:rsidP="00A03923">
            <w:pPr>
              <w:spacing w:line="288" w:lineRule="auto"/>
              <w:rPr>
                <w:rFonts w:eastAsia="Cynulliad Sans" w:cs="Times New Roman"/>
                <w:sz w:val="22"/>
                <w:szCs w:val="22"/>
              </w:rPr>
            </w:pPr>
            <w:r w:rsidRPr="00FA67FD">
              <w:rPr>
                <w:rFonts w:eastAsia="Cynulliad Sans" w:cs="Times New Roman"/>
                <w:sz w:val="22"/>
                <w:szCs w:val="22"/>
              </w:rPr>
              <w:t>CEO and Directors</w:t>
            </w:r>
          </w:p>
        </w:tc>
        <w:tc>
          <w:tcPr>
            <w:tcW w:w="600" w:type="pct"/>
            <w:hideMark/>
          </w:tcPr>
          <w:p w14:paraId="1B0ED583"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£98,514</w:t>
            </w:r>
          </w:p>
        </w:tc>
        <w:tc>
          <w:tcPr>
            <w:tcW w:w="675" w:type="pct"/>
            <w:hideMark/>
          </w:tcPr>
          <w:p w14:paraId="2321CD5F"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£125,201</w:t>
            </w:r>
          </w:p>
        </w:tc>
        <w:tc>
          <w:tcPr>
            <w:tcW w:w="707" w:type="pct"/>
            <w:hideMark/>
          </w:tcPr>
          <w:p w14:paraId="62D073A0"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27.1%</w:t>
            </w:r>
          </w:p>
        </w:tc>
        <w:tc>
          <w:tcPr>
            <w:tcW w:w="109" w:type="pct"/>
            <w:shd w:val="clear" w:color="auto" w:fill="34A3AE"/>
          </w:tcPr>
          <w:p w14:paraId="71F0B137"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c>
          <w:tcPr>
            <w:tcW w:w="654" w:type="pct"/>
            <w:hideMark/>
          </w:tcPr>
          <w:p w14:paraId="39CB80FE"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£108,365</w:t>
            </w:r>
          </w:p>
        </w:tc>
        <w:tc>
          <w:tcPr>
            <w:tcW w:w="654" w:type="pct"/>
            <w:hideMark/>
          </w:tcPr>
          <w:p w14:paraId="4F206D69"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£125,201</w:t>
            </w:r>
          </w:p>
        </w:tc>
        <w:tc>
          <w:tcPr>
            <w:tcW w:w="706" w:type="pct"/>
            <w:hideMark/>
          </w:tcPr>
          <w:p w14:paraId="2A122685" w14:textId="77777777" w:rsidR="00FA67FD" w:rsidRPr="00FA67FD" w:rsidRDefault="00FA67FD"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FA67FD">
              <w:rPr>
                <w:rFonts w:eastAsia="Cynulliad Sans" w:cs="Times New Roman"/>
                <w:sz w:val="22"/>
                <w:szCs w:val="22"/>
              </w:rPr>
              <w:t>15.5%</w:t>
            </w:r>
          </w:p>
        </w:tc>
      </w:tr>
    </w:tbl>
    <w:p w14:paraId="0FD84EF8" w14:textId="1F4A0E88" w:rsidR="00FA67FD" w:rsidRDefault="00FA67FD" w:rsidP="00FA67FD">
      <w:pPr>
        <w:pStyle w:val="3Copy-text"/>
        <w:rPr>
          <w:lang w:eastAsia="en-GB"/>
        </w:rPr>
      </w:pPr>
      <w:r w:rsidRPr="00FA67FD">
        <w:rPr>
          <w:lang w:eastAsia="en-GB"/>
        </w:rPr>
        <w:t>Source: Assembly Commission HR Payroll IT Reporting System</w:t>
      </w:r>
    </w:p>
    <w:p w14:paraId="695EB37A" w14:textId="77777777" w:rsidR="00FA67FD" w:rsidRDefault="00FA67FD" w:rsidP="00FA67FD">
      <w:pPr>
        <w:pStyle w:val="3Copy-text"/>
        <w:rPr>
          <w:lang w:eastAsia="en-GB"/>
        </w:rPr>
      </w:pPr>
      <w:r>
        <w:rPr>
          <w:lang w:eastAsia="en-GB"/>
        </w:rPr>
        <w:t>Analysis:</w:t>
      </w:r>
    </w:p>
    <w:p w14:paraId="71184D6C" w14:textId="23E16AB3" w:rsidR="00FA67FD" w:rsidRDefault="00FA67FD" w:rsidP="00FA67FD">
      <w:pPr>
        <w:pStyle w:val="4Bulletlist"/>
        <w:rPr>
          <w:lang w:eastAsia="en-GB"/>
        </w:rPr>
      </w:pPr>
      <w:r>
        <w:rPr>
          <w:lang w:eastAsia="en-GB"/>
        </w:rPr>
        <w:t>We have attempted to recruit more women into the Visitor and Liaison and Security Team over the last few years and the increase in the number of women in  these roles has been gradual; and</w:t>
      </w:r>
    </w:p>
    <w:p w14:paraId="4C5F1CF9" w14:textId="03F73608" w:rsidR="00FA67FD" w:rsidRDefault="00FA67FD" w:rsidP="00FA67FD">
      <w:pPr>
        <w:pStyle w:val="4Bulletlist"/>
        <w:rPr>
          <w:lang w:eastAsia="en-GB"/>
        </w:rPr>
      </w:pPr>
      <w:r>
        <w:rPr>
          <w:lang w:eastAsia="en-GB"/>
        </w:rPr>
        <w:t>M-1 pay band total salary differential of 12.6%: is largely due to a higher number of women who are also in receipt of skills based recruitment and retention allowance for specialist roles. There is also an element of comparative length of service contributing to this pay lead; and</w:t>
      </w:r>
    </w:p>
    <w:p w14:paraId="77E7564B" w14:textId="697E629F" w:rsidR="00FA67FD" w:rsidRDefault="00FA67FD" w:rsidP="00FA67FD">
      <w:pPr>
        <w:pStyle w:val="4Bulletlist"/>
        <w:rPr>
          <w:lang w:eastAsia="en-GB"/>
        </w:rPr>
      </w:pPr>
      <w:r>
        <w:rPr>
          <w:lang w:eastAsia="en-GB"/>
        </w:rPr>
        <w:t>a CEO and Directors differential of 27.1% basic and 15.5% total salary - due to the small cohort involved and to protect privacy of individuals it is not possible to analyse this data further.</w:t>
      </w:r>
    </w:p>
    <w:p w14:paraId="2D8470D2" w14:textId="172353B4" w:rsidR="00634FE8" w:rsidRDefault="00634FE8" w:rsidP="00634FE8">
      <w:pPr>
        <w:pStyle w:val="Caption"/>
        <w:keepNext/>
      </w:pPr>
      <w:r>
        <w:lastRenderedPageBreak/>
        <w:t xml:space="preserve">Table </w:t>
      </w:r>
      <w:fldSimple w:instr=" SEQ Table \* ARABIC ">
        <w:r w:rsidR="00332158">
          <w:rPr>
            <w:noProof/>
          </w:rPr>
          <w:t>21</w:t>
        </w:r>
      </w:fldSimple>
      <w:r>
        <w:t xml:space="preserve">: </w:t>
      </w:r>
      <w:r w:rsidRPr="00782205">
        <w:t>Distribution of Allowances as at 31 March 2017</w:t>
      </w:r>
    </w:p>
    <w:tbl>
      <w:tblPr>
        <w:tblStyle w:val="GridTable4-Accent4"/>
        <w:tblW w:w="5000" w:type="pct"/>
        <w:tblLook w:val="04A0" w:firstRow="1" w:lastRow="0" w:firstColumn="1" w:lastColumn="0" w:noHBand="0" w:noVBand="1"/>
      </w:tblPr>
      <w:tblGrid>
        <w:gridCol w:w="1161"/>
        <w:gridCol w:w="1449"/>
        <w:gridCol w:w="1701"/>
        <w:gridCol w:w="1489"/>
        <w:gridCol w:w="1739"/>
        <w:gridCol w:w="1739"/>
        <w:gridCol w:w="2029"/>
        <w:gridCol w:w="1305"/>
        <w:gridCol w:w="2174"/>
      </w:tblGrid>
      <w:tr w:rsidR="00184FD5" w:rsidRPr="00184FD5" w14:paraId="7174C405" w14:textId="77777777" w:rsidTr="00A03923">
        <w:trPr>
          <w:cnfStyle w:val="100000000000" w:firstRow="1" w:lastRow="0" w:firstColumn="0" w:lastColumn="0" w:oddVBand="0" w:evenVBand="0" w:oddHBand="0"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135" w:type="dxa"/>
            <w:vMerge w:val="restart"/>
            <w:hideMark/>
          </w:tcPr>
          <w:p w14:paraId="24D73749" w14:textId="77777777" w:rsidR="00184FD5" w:rsidRPr="00184FD5" w:rsidRDefault="00184FD5" w:rsidP="00A03923">
            <w:pPr>
              <w:spacing w:line="288" w:lineRule="auto"/>
              <w:rPr>
                <w:rFonts w:eastAsia="Calibri" w:cs="Times New Roman"/>
                <w:b w:val="0"/>
                <w:szCs w:val="20"/>
              </w:rPr>
            </w:pPr>
          </w:p>
        </w:tc>
        <w:tc>
          <w:tcPr>
            <w:tcW w:w="3080" w:type="dxa"/>
            <w:gridSpan w:val="2"/>
            <w:hideMark/>
          </w:tcPr>
          <w:p w14:paraId="6F70BFBD" w14:textId="77777777" w:rsidR="00184FD5" w:rsidRPr="00184FD5"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84FD5">
              <w:rPr>
                <w:rFonts w:eastAsia="Cynulliad Sans" w:cs="Times New Roman"/>
                <w:b w:val="0"/>
                <w:sz w:val="22"/>
                <w:szCs w:val="22"/>
              </w:rPr>
              <w:t>Temporary Working Allowance</w:t>
            </w:r>
          </w:p>
        </w:tc>
        <w:tc>
          <w:tcPr>
            <w:tcW w:w="3157" w:type="dxa"/>
            <w:gridSpan w:val="2"/>
            <w:hideMark/>
          </w:tcPr>
          <w:p w14:paraId="537895CB" w14:textId="77777777" w:rsidR="00184FD5" w:rsidRPr="00184FD5"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84FD5">
              <w:rPr>
                <w:rFonts w:eastAsia="Cynulliad Sans" w:cs="Times New Roman"/>
                <w:b w:val="0"/>
                <w:sz w:val="22"/>
                <w:szCs w:val="22"/>
              </w:rPr>
              <w:t>Responsibility Allowance</w:t>
            </w:r>
          </w:p>
        </w:tc>
        <w:tc>
          <w:tcPr>
            <w:tcW w:w="3685" w:type="dxa"/>
            <w:gridSpan w:val="2"/>
            <w:hideMark/>
          </w:tcPr>
          <w:p w14:paraId="54176862" w14:textId="77777777" w:rsidR="00184FD5" w:rsidRPr="00184FD5"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84FD5">
              <w:rPr>
                <w:rFonts w:eastAsia="Cynulliad Sans" w:cs="Times New Roman"/>
                <w:b w:val="0"/>
                <w:sz w:val="22"/>
                <w:szCs w:val="22"/>
              </w:rPr>
              <w:t>Recruitment and Retention Allowance</w:t>
            </w:r>
          </w:p>
        </w:tc>
        <w:tc>
          <w:tcPr>
            <w:tcW w:w="3402" w:type="dxa"/>
            <w:gridSpan w:val="2"/>
            <w:hideMark/>
          </w:tcPr>
          <w:p w14:paraId="210C5710" w14:textId="77777777" w:rsidR="00184FD5" w:rsidRPr="00184FD5"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84FD5">
              <w:rPr>
                <w:rFonts w:eastAsia="Cynulliad Sans" w:cs="Times New Roman"/>
                <w:b w:val="0"/>
                <w:sz w:val="22"/>
                <w:szCs w:val="22"/>
              </w:rPr>
              <w:t>Shift Disturbance Allowance</w:t>
            </w:r>
          </w:p>
        </w:tc>
      </w:tr>
      <w:tr w:rsidR="00184FD5" w:rsidRPr="00184FD5" w14:paraId="054241C6" w14:textId="77777777" w:rsidTr="00E942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5" w:type="dxa"/>
            <w:vMerge/>
            <w:hideMark/>
          </w:tcPr>
          <w:p w14:paraId="2790F166" w14:textId="77777777" w:rsidR="00184FD5" w:rsidRPr="00184FD5" w:rsidRDefault="00184FD5" w:rsidP="00A03923">
            <w:pPr>
              <w:spacing w:line="288" w:lineRule="auto"/>
              <w:rPr>
                <w:rFonts w:ascii="Times New Roman" w:eastAsia="Calibri" w:hAnsi="Times New Roman" w:cs="Times New Roman"/>
                <w:szCs w:val="20"/>
              </w:rPr>
            </w:pPr>
          </w:p>
        </w:tc>
        <w:tc>
          <w:tcPr>
            <w:tcW w:w="1417" w:type="dxa"/>
            <w:shd w:val="clear" w:color="auto" w:fill="34A3AE"/>
            <w:hideMark/>
          </w:tcPr>
          <w:p w14:paraId="7E899A03"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Male</w:t>
            </w:r>
          </w:p>
        </w:tc>
        <w:tc>
          <w:tcPr>
            <w:tcW w:w="1663" w:type="dxa"/>
            <w:shd w:val="clear" w:color="auto" w:fill="34A3AE"/>
            <w:hideMark/>
          </w:tcPr>
          <w:p w14:paraId="7FE65B9F"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Female</w:t>
            </w:r>
          </w:p>
        </w:tc>
        <w:tc>
          <w:tcPr>
            <w:tcW w:w="1456" w:type="dxa"/>
            <w:shd w:val="clear" w:color="auto" w:fill="34A3AE"/>
            <w:hideMark/>
          </w:tcPr>
          <w:p w14:paraId="4355F0C0"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Male</w:t>
            </w:r>
          </w:p>
        </w:tc>
        <w:tc>
          <w:tcPr>
            <w:tcW w:w="1701" w:type="dxa"/>
            <w:shd w:val="clear" w:color="auto" w:fill="34A3AE"/>
            <w:hideMark/>
          </w:tcPr>
          <w:p w14:paraId="5301D7AE"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Female</w:t>
            </w:r>
          </w:p>
        </w:tc>
        <w:tc>
          <w:tcPr>
            <w:tcW w:w="1701" w:type="dxa"/>
            <w:shd w:val="clear" w:color="auto" w:fill="34A3AE"/>
            <w:hideMark/>
          </w:tcPr>
          <w:p w14:paraId="08BC1790"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Male</w:t>
            </w:r>
          </w:p>
        </w:tc>
        <w:tc>
          <w:tcPr>
            <w:tcW w:w="1984" w:type="dxa"/>
            <w:shd w:val="clear" w:color="auto" w:fill="34A3AE"/>
            <w:hideMark/>
          </w:tcPr>
          <w:p w14:paraId="32E0B1A0"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Female</w:t>
            </w:r>
          </w:p>
        </w:tc>
        <w:tc>
          <w:tcPr>
            <w:tcW w:w="1276" w:type="dxa"/>
            <w:shd w:val="clear" w:color="auto" w:fill="34A3AE"/>
            <w:hideMark/>
          </w:tcPr>
          <w:p w14:paraId="710B1772"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Male</w:t>
            </w:r>
          </w:p>
        </w:tc>
        <w:tc>
          <w:tcPr>
            <w:tcW w:w="2126" w:type="dxa"/>
            <w:shd w:val="clear" w:color="auto" w:fill="34A3AE"/>
            <w:hideMark/>
          </w:tcPr>
          <w:p w14:paraId="518F65D3"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Female</w:t>
            </w:r>
          </w:p>
        </w:tc>
      </w:tr>
      <w:tr w:rsidR="00184FD5" w:rsidRPr="00184FD5" w14:paraId="5F28313B" w14:textId="77777777" w:rsidTr="00A03923">
        <w:trPr>
          <w:trHeight w:val="255"/>
        </w:trPr>
        <w:tc>
          <w:tcPr>
            <w:cnfStyle w:val="001000000000" w:firstRow="0" w:lastRow="0" w:firstColumn="1" w:lastColumn="0" w:oddVBand="0" w:evenVBand="0" w:oddHBand="0" w:evenHBand="0" w:firstRowFirstColumn="0" w:firstRowLastColumn="0" w:lastRowFirstColumn="0" w:lastRowLastColumn="0"/>
            <w:tcW w:w="1135" w:type="dxa"/>
            <w:hideMark/>
          </w:tcPr>
          <w:p w14:paraId="59E1EE8B"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TOTAL</w:t>
            </w:r>
          </w:p>
        </w:tc>
        <w:tc>
          <w:tcPr>
            <w:tcW w:w="1417" w:type="dxa"/>
            <w:hideMark/>
          </w:tcPr>
          <w:p w14:paraId="4B892B61"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10</w:t>
            </w:r>
          </w:p>
        </w:tc>
        <w:tc>
          <w:tcPr>
            <w:tcW w:w="1663" w:type="dxa"/>
            <w:hideMark/>
          </w:tcPr>
          <w:p w14:paraId="6851FCC1"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6</w:t>
            </w:r>
          </w:p>
        </w:tc>
        <w:tc>
          <w:tcPr>
            <w:tcW w:w="1456" w:type="dxa"/>
            <w:hideMark/>
          </w:tcPr>
          <w:p w14:paraId="2C5A741F"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7</w:t>
            </w:r>
          </w:p>
        </w:tc>
        <w:tc>
          <w:tcPr>
            <w:tcW w:w="1701" w:type="dxa"/>
            <w:hideMark/>
          </w:tcPr>
          <w:p w14:paraId="25259458"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12</w:t>
            </w:r>
          </w:p>
        </w:tc>
        <w:tc>
          <w:tcPr>
            <w:tcW w:w="1701" w:type="dxa"/>
            <w:hideMark/>
          </w:tcPr>
          <w:p w14:paraId="2DB8A799"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11</w:t>
            </w:r>
          </w:p>
        </w:tc>
        <w:tc>
          <w:tcPr>
            <w:tcW w:w="1984" w:type="dxa"/>
            <w:hideMark/>
          </w:tcPr>
          <w:p w14:paraId="200251D4"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25</w:t>
            </w:r>
          </w:p>
        </w:tc>
        <w:tc>
          <w:tcPr>
            <w:tcW w:w="3402" w:type="dxa"/>
            <w:gridSpan w:val="2"/>
            <w:hideMark/>
          </w:tcPr>
          <w:p w14:paraId="140A032A" w14:textId="77777777" w:rsidR="00184FD5" w:rsidRPr="00184FD5" w:rsidRDefault="00184FD5" w:rsidP="00A03923">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10*</w:t>
            </w:r>
          </w:p>
        </w:tc>
      </w:tr>
    </w:tbl>
    <w:p w14:paraId="0AD656ED" w14:textId="77777777" w:rsidR="00184FD5" w:rsidRPr="00184FD5" w:rsidRDefault="00184FD5" w:rsidP="00184FD5">
      <w:pPr>
        <w:pStyle w:val="3Copy-text"/>
        <w:rPr>
          <w:lang w:eastAsia="en-GB"/>
        </w:rPr>
      </w:pPr>
      <w:r w:rsidRPr="00184FD5">
        <w:rPr>
          <w:lang w:eastAsia="en-GB"/>
        </w:rPr>
        <w:t>Source: Assembly Commission HR Payroll IT Reporting System</w:t>
      </w:r>
    </w:p>
    <w:p w14:paraId="5BD18A07" w14:textId="77777777" w:rsidR="00184FD5" w:rsidRPr="00184FD5" w:rsidRDefault="00184FD5" w:rsidP="00184FD5">
      <w:pPr>
        <w:pStyle w:val="3Copy-text"/>
        <w:rPr>
          <w:lang w:eastAsia="en-GB"/>
        </w:rPr>
      </w:pPr>
      <w:r w:rsidRPr="00184FD5">
        <w:rPr>
          <w:lang w:eastAsia="en-GB"/>
        </w:rPr>
        <w:t>*Merged for privacy</w:t>
      </w:r>
    </w:p>
    <w:p w14:paraId="10A916C5" w14:textId="77777777" w:rsidR="00184FD5" w:rsidRPr="00184FD5" w:rsidRDefault="00184FD5" w:rsidP="00184FD5">
      <w:pPr>
        <w:pStyle w:val="3Copy-text"/>
        <w:rPr>
          <w:lang w:eastAsia="en-GB"/>
        </w:rPr>
      </w:pPr>
      <w:r w:rsidRPr="00184FD5">
        <w:rPr>
          <w:lang w:eastAsia="en-GB"/>
        </w:rPr>
        <w:t>Data has not been broken down by grade due to the small groupings in order to protect individuals’ privacy.</w:t>
      </w:r>
    </w:p>
    <w:p w14:paraId="41DB5071" w14:textId="77777777" w:rsidR="00184FD5" w:rsidRPr="00184FD5" w:rsidRDefault="00184FD5" w:rsidP="00184FD5">
      <w:pPr>
        <w:pStyle w:val="3Copy-text"/>
        <w:rPr>
          <w:lang w:eastAsia="en-GB"/>
        </w:rPr>
      </w:pPr>
      <w:r w:rsidRPr="00184FD5">
        <w:rPr>
          <w:lang w:eastAsia="en-GB"/>
        </w:rPr>
        <w:t>Analysis:</w:t>
      </w:r>
    </w:p>
    <w:p w14:paraId="15A9E6D4" w14:textId="659E9778" w:rsidR="00184FD5" w:rsidRPr="00184FD5" w:rsidRDefault="00184FD5" w:rsidP="00184FD5">
      <w:pPr>
        <w:pStyle w:val="4Bulletlist"/>
        <w:rPr>
          <w:lang w:eastAsia="en-GB"/>
        </w:rPr>
      </w:pPr>
      <w:r w:rsidRPr="00184FD5">
        <w:rPr>
          <w:lang w:eastAsia="en-GB"/>
        </w:rPr>
        <w:t>All specialist role allowances (with the exception of one type of skills based recruitment and retention allowance) came to an end on 31 March 2016, however this is subject to review.</w:t>
      </w:r>
    </w:p>
    <w:p w14:paraId="32091C72" w14:textId="77777777" w:rsidR="00184FD5" w:rsidRPr="00184FD5" w:rsidRDefault="00184FD5" w:rsidP="00184FD5">
      <w:pPr>
        <w:pStyle w:val="3Copy-text"/>
        <w:rPr>
          <w:lang w:eastAsia="en-GB"/>
        </w:rPr>
      </w:pPr>
      <w:r w:rsidRPr="00184FD5">
        <w:rPr>
          <w:lang w:eastAsia="en-GB"/>
        </w:rPr>
        <w:t>Action:</w:t>
      </w:r>
    </w:p>
    <w:p w14:paraId="22951B8E" w14:textId="72FE94A4" w:rsidR="00184FD5" w:rsidRDefault="00184FD5" w:rsidP="00184FD5">
      <w:pPr>
        <w:pStyle w:val="4Bulletlist"/>
        <w:rPr>
          <w:lang w:eastAsia="en-GB"/>
        </w:rPr>
      </w:pPr>
      <w:r w:rsidRPr="00184FD5">
        <w:rPr>
          <w:lang w:eastAsia="en-GB"/>
        </w:rPr>
        <w:t xml:space="preserve"> Review our monitoring mechanisms for all our allowances.</w:t>
      </w:r>
    </w:p>
    <w:p w14:paraId="2B995AA2" w14:textId="77777777" w:rsidR="00184FD5" w:rsidRDefault="00184FD5">
      <w:pPr>
        <w:spacing w:before="0" w:after="160" w:line="259" w:lineRule="auto"/>
        <w:rPr>
          <w:rFonts w:eastAsia="Lucida Sans" w:cs="Times New Roman"/>
          <w:color w:val="414042"/>
          <w:kern w:val="24"/>
          <w:lang w:eastAsia="en-GB"/>
        </w:rPr>
      </w:pPr>
      <w:r>
        <w:rPr>
          <w:lang w:eastAsia="en-GB"/>
        </w:rPr>
        <w:br w:type="page"/>
      </w:r>
    </w:p>
    <w:p w14:paraId="12353F27" w14:textId="6C2CE5D0" w:rsidR="00634FE8" w:rsidRDefault="00634FE8" w:rsidP="00634FE8">
      <w:pPr>
        <w:pStyle w:val="Caption"/>
        <w:keepNext/>
      </w:pPr>
      <w:r>
        <w:lastRenderedPageBreak/>
        <w:t xml:space="preserve">Table </w:t>
      </w:r>
      <w:fldSimple w:instr=" SEQ Table \* ARABIC ">
        <w:r w:rsidR="00332158">
          <w:rPr>
            <w:noProof/>
          </w:rPr>
          <w:t>22</w:t>
        </w:r>
      </w:fldSimple>
      <w:r>
        <w:t xml:space="preserve">: </w:t>
      </w:r>
      <w:r w:rsidRPr="00186365">
        <w:t>Comparison between Full-time and Part-time Employees</w:t>
      </w:r>
    </w:p>
    <w:tbl>
      <w:tblPr>
        <w:tblStyle w:val="GridTable4-Accent4"/>
        <w:tblW w:w="14474" w:type="dxa"/>
        <w:tblLook w:val="04A0" w:firstRow="1" w:lastRow="0" w:firstColumn="1" w:lastColumn="0" w:noHBand="0" w:noVBand="1"/>
      </w:tblPr>
      <w:tblGrid>
        <w:gridCol w:w="1059"/>
        <w:gridCol w:w="1203"/>
        <w:gridCol w:w="152"/>
        <w:gridCol w:w="1051"/>
        <w:gridCol w:w="152"/>
        <w:gridCol w:w="1051"/>
        <w:gridCol w:w="152"/>
        <w:gridCol w:w="1858"/>
        <w:gridCol w:w="2268"/>
        <w:gridCol w:w="2551"/>
        <w:gridCol w:w="2977"/>
      </w:tblGrid>
      <w:tr w:rsidR="00184FD5" w:rsidRPr="00184FD5" w14:paraId="0D330221" w14:textId="77777777" w:rsidTr="00FA420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74" w:type="dxa"/>
            <w:gridSpan w:val="11"/>
            <w:tcBorders>
              <w:bottom w:val="single" w:sz="4" w:space="0" w:color="34A3AE"/>
            </w:tcBorders>
            <w:noWrap/>
            <w:hideMark/>
          </w:tcPr>
          <w:p w14:paraId="2D1EAF2C"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Basic FTE Salary</w:t>
            </w:r>
          </w:p>
        </w:tc>
      </w:tr>
      <w:tr w:rsidR="00184FD5" w:rsidRPr="00184FD5" w14:paraId="2771619B" w14:textId="77777777" w:rsidTr="00FA420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59" w:type="dxa"/>
            <w:tcBorders>
              <w:top w:val="single" w:sz="4" w:space="0" w:color="34A3AE"/>
              <w:left w:val="single" w:sz="4" w:space="0" w:color="34A3AE"/>
              <w:bottom w:val="single" w:sz="4" w:space="0" w:color="34A3AE"/>
              <w:right w:val="single" w:sz="4" w:space="0" w:color="34A3AE"/>
            </w:tcBorders>
            <w:shd w:val="clear" w:color="auto" w:fill="34A3AE"/>
            <w:noWrap/>
            <w:hideMark/>
          </w:tcPr>
          <w:p w14:paraId="78E568FA" w14:textId="77777777" w:rsidR="00184FD5" w:rsidRPr="00E94285" w:rsidRDefault="00184FD5" w:rsidP="00A03923">
            <w:pPr>
              <w:spacing w:line="288" w:lineRule="auto"/>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 </w:t>
            </w:r>
          </w:p>
        </w:tc>
        <w:tc>
          <w:tcPr>
            <w:tcW w:w="2406" w:type="dxa"/>
            <w:gridSpan w:val="3"/>
            <w:tcBorders>
              <w:top w:val="single" w:sz="4" w:space="0" w:color="34A3AE"/>
              <w:left w:val="single" w:sz="4" w:space="0" w:color="34A3AE"/>
              <w:bottom w:val="single" w:sz="4" w:space="0" w:color="34A3AE"/>
              <w:right w:val="single" w:sz="4" w:space="0" w:color="34A3AE"/>
            </w:tcBorders>
            <w:shd w:val="clear" w:color="auto" w:fill="34A3AE"/>
            <w:noWrap/>
            <w:hideMark/>
          </w:tcPr>
          <w:p w14:paraId="13F9397B"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Male </w:t>
            </w:r>
          </w:p>
        </w:tc>
        <w:tc>
          <w:tcPr>
            <w:tcW w:w="3213" w:type="dxa"/>
            <w:gridSpan w:val="4"/>
            <w:tcBorders>
              <w:top w:val="single" w:sz="4" w:space="0" w:color="34A3AE"/>
              <w:left w:val="single" w:sz="4" w:space="0" w:color="34A3AE"/>
              <w:bottom w:val="single" w:sz="4" w:space="0" w:color="34A3AE"/>
              <w:right w:val="single" w:sz="4" w:space="0" w:color="34A3AE"/>
            </w:tcBorders>
            <w:shd w:val="clear" w:color="auto" w:fill="34A3AE"/>
            <w:noWrap/>
            <w:hideMark/>
          </w:tcPr>
          <w:p w14:paraId="5B1EE47F"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Female </w:t>
            </w:r>
          </w:p>
        </w:tc>
        <w:tc>
          <w:tcPr>
            <w:tcW w:w="7796" w:type="dxa"/>
            <w:gridSpan w:val="3"/>
            <w:tcBorders>
              <w:top w:val="single" w:sz="4" w:space="0" w:color="34A3AE"/>
              <w:left w:val="single" w:sz="4" w:space="0" w:color="34A3AE"/>
              <w:bottom w:val="single" w:sz="4" w:space="0" w:color="34A3AE"/>
              <w:right w:val="single" w:sz="4" w:space="0" w:color="34A3AE"/>
            </w:tcBorders>
            <w:shd w:val="clear" w:color="auto" w:fill="34A3AE"/>
            <w:noWrap/>
            <w:hideMark/>
          </w:tcPr>
          <w:p w14:paraId="4B30BA8C"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 Difference </w:t>
            </w:r>
          </w:p>
        </w:tc>
      </w:tr>
      <w:tr w:rsidR="00184FD5" w:rsidRPr="00184FD5" w14:paraId="16AE2AA6" w14:textId="77777777" w:rsidTr="00FA4203">
        <w:trPr>
          <w:trHeight w:val="1056"/>
        </w:trPr>
        <w:tc>
          <w:tcPr>
            <w:cnfStyle w:val="001000000000" w:firstRow="0" w:lastRow="0" w:firstColumn="1" w:lastColumn="0" w:oddVBand="0" w:evenVBand="0" w:oddHBand="0" w:evenHBand="0" w:firstRowFirstColumn="0" w:firstRowLastColumn="0" w:lastRowFirstColumn="0" w:lastRowLastColumn="0"/>
            <w:tcW w:w="1059" w:type="dxa"/>
            <w:tcBorders>
              <w:top w:val="single" w:sz="4" w:space="0" w:color="34A3AE"/>
            </w:tcBorders>
            <w:noWrap/>
            <w:hideMark/>
          </w:tcPr>
          <w:p w14:paraId="43BA3B7E"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 </w:t>
            </w:r>
          </w:p>
        </w:tc>
        <w:tc>
          <w:tcPr>
            <w:tcW w:w="1203" w:type="dxa"/>
            <w:tcBorders>
              <w:top w:val="single" w:sz="4" w:space="0" w:color="34A3AE"/>
            </w:tcBorders>
            <w:noWrap/>
            <w:hideMark/>
          </w:tcPr>
          <w:p w14:paraId="5A8935DA"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Full-time (FT)</w:t>
            </w:r>
          </w:p>
        </w:tc>
        <w:tc>
          <w:tcPr>
            <w:tcW w:w="1203" w:type="dxa"/>
            <w:gridSpan w:val="2"/>
            <w:tcBorders>
              <w:top w:val="single" w:sz="4" w:space="0" w:color="34A3AE"/>
            </w:tcBorders>
            <w:noWrap/>
            <w:hideMark/>
          </w:tcPr>
          <w:p w14:paraId="5CE3C74F"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Part-time (PT)</w:t>
            </w:r>
          </w:p>
        </w:tc>
        <w:tc>
          <w:tcPr>
            <w:tcW w:w="1203" w:type="dxa"/>
            <w:gridSpan w:val="2"/>
            <w:tcBorders>
              <w:top w:val="single" w:sz="4" w:space="0" w:color="34A3AE"/>
            </w:tcBorders>
            <w:noWrap/>
            <w:hideMark/>
          </w:tcPr>
          <w:p w14:paraId="2961F6BF"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Full-time</w:t>
            </w:r>
          </w:p>
          <w:p w14:paraId="2E43B715"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(FT)</w:t>
            </w:r>
          </w:p>
        </w:tc>
        <w:tc>
          <w:tcPr>
            <w:tcW w:w="2010" w:type="dxa"/>
            <w:gridSpan w:val="2"/>
            <w:tcBorders>
              <w:top w:val="single" w:sz="4" w:space="0" w:color="34A3AE"/>
            </w:tcBorders>
            <w:noWrap/>
            <w:hideMark/>
          </w:tcPr>
          <w:p w14:paraId="76D37538"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Part-time</w:t>
            </w:r>
          </w:p>
          <w:p w14:paraId="2944E852"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(PT)</w:t>
            </w:r>
          </w:p>
        </w:tc>
        <w:tc>
          <w:tcPr>
            <w:tcW w:w="2268" w:type="dxa"/>
            <w:tcBorders>
              <w:top w:val="single" w:sz="4" w:space="0" w:color="34A3AE"/>
            </w:tcBorders>
            <w:hideMark/>
          </w:tcPr>
          <w:p w14:paraId="539158BF"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Male PT vs Male FT</w:t>
            </w:r>
          </w:p>
        </w:tc>
        <w:tc>
          <w:tcPr>
            <w:tcW w:w="2551" w:type="dxa"/>
            <w:tcBorders>
              <w:top w:val="single" w:sz="4" w:space="0" w:color="34A3AE"/>
            </w:tcBorders>
            <w:hideMark/>
          </w:tcPr>
          <w:p w14:paraId="0A0671C1"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Female PT vs Female FT</w:t>
            </w:r>
          </w:p>
        </w:tc>
        <w:tc>
          <w:tcPr>
            <w:tcW w:w="2977" w:type="dxa"/>
            <w:tcBorders>
              <w:top w:val="single" w:sz="4" w:space="0" w:color="34A3AE"/>
            </w:tcBorders>
            <w:hideMark/>
          </w:tcPr>
          <w:p w14:paraId="3446AED7"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Female PT vs Male FT</w:t>
            </w:r>
          </w:p>
        </w:tc>
      </w:tr>
      <w:tr w:rsidR="00184FD5" w:rsidRPr="00184FD5" w14:paraId="661FD7F4" w14:textId="77777777" w:rsidTr="00C9600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59" w:type="dxa"/>
            <w:noWrap/>
            <w:hideMark/>
          </w:tcPr>
          <w:p w14:paraId="32A6F327"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Mean</w:t>
            </w:r>
          </w:p>
        </w:tc>
        <w:tc>
          <w:tcPr>
            <w:tcW w:w="1203" w:type="dxa"/>
            <w:noWrap/>
            <w:hideMark/>
          </w:tcPr>
          <w:p w14:paraId="49CAF8A2"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£33,751</w:t>
            </w:r>
          </w:p>
        </w:tc>
        <w:tc>
          <w:tcPr>
            <w:tcW w:w="1203" w:type="dxa"/>
            <w:gridSpan w:val="2"/>
            <w:noWrap/>
            <w:hideMark/>
          </w:tcPr>
          <w:p w14:paraId="0AB1340C"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£31,102</w:t>
            </w:r>
          </w:p>
        </w:tc>
        <w:tc>
          <w:tcPr>
            <w:tcW w:w="1203" w:type="dxa"/>
            <w:gridSpan w:val="2"/>
            <w:noWrap/>
            <w:hideMark/>
          </w:tcPr>
          <w:p w14:paraId="4B2677FE"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£34,725</w:t>
            </w:r>
          </w:p>
        </w:tc>
        <w:tc>
          <w:tcPr>
            <w:tcW w:w="2010" w:type="dxa"/>
            <w:gridSpan w:val="2"/>
            <w:noWrap/>
            <w:hideMark/>
          </w:tcPr>
          <w:p w14:paraId="1DD617A1"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£38,829</w:t>
            </w:r>
          </w:p>
        </w:tc>
        <w:tc>
          <w:tcPr>
            <w:tcW w:w="2268" w:type="dxa"/>
            <w:noWrap/>
            <w:hideMark/>
          </w:tcPr>
          <w:p w14:paraId="3955327D"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-7.8%</w:t>
            </w:r>
          </w:p>
        </w:tc>
        <w:tc>
          <w:tcPr>
            <w:tcW w:w="2551" w:type="dxa"/>
            <w:noWrap/>
            <w:hideMark/>
          </w:tcPr>
          <w:p w14:paraId="147EA554"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11.8%</w:t>
            </w:r>
          </w:p>
        </w:tc>
        <w:tc>
          <w:tcPr>
            <w:tcW w:w="2977" w:type="dxa"/>
            <w:noWrap/>
            <w:hideMark/>
          </w:tcPr>
          <w:p w14:paraId="599938AB"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15.0%</w:t>
            </w:r>
          </w:p>
        </w:tc>
      </w:tr>
      <w:tr w:rsidR="00184FD5" w:rsidRPr="00184FD5" w14:paraId="2E47E125" w14:textId="77777777" w:rsidTr="00C96009">
        <w:trPr>
          <w:trHeight w:val="264"/>
        </w:trPr>
        <w:tc>
          <w:tcPr>
            <w:cnfStyle w:val="001000000000" w:firstRow="0" w:lastRow="0" w:firstColumn="1" w:lastColumn="0" w:oddVBand="0" w:evenVBand="0" w:oddHBand="0" w:evenHBand="0" w:firstRowFirstColumn="0" w:firstRowLastColumn="0" w:lastRowFirstColumn="0" w:lastRowLastColumn="0"/>
            <w:tcW w:w="1059" w:type="dxa"/>
            <w:noWrap/>
            <w:hideMark/>
          </w:tcPr>
          <w:p w14:paraId="6EAC91B1"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Median</w:t>
            </w:r>
          </w:p>
        </w:tc>
        <w:tc>
          <w:tcPr>
            <w:tcW w:w="1203" w:type="dxa"/>
            <w:noWrap/>
            <w:hideMark/>
          </w:tcPr>
          <w:p w14:paraId="6D5E1C46"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£27,806</w:t>
            </w:r>
          </w:p>
        </w:tc>
        <w:tc>
          <w:tcPr>
            <w:tcW w:w="1203" w:type="dxa"/>
            <w:gridSpan w:val="2"/>
            <w:noWrap/>
            <w:hideMark/>
          </w:tcPr>
          <w:p w14:paraId="4E6F95B3"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£27,806</w:t>
            </w:r>
          </w:p>
        </w:tc>
        <w:tc>
          <w:tcPr>
            <w:tcW w:w="1203" w:type="dxa"/>
            <w:gridSpan w:val="2"/>
            <w:noWrap/>
            <w:hideMark/>
          </w:tcPr>
          <w:p w14:paraId="29CEE000"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£32,893</w:t>
            </w:r>
          </w:p>
        </w:tc>
        <w:tc>
          <w:tcPr>
            <w:tcW w:w="2010" w:type="dxa"/>
            <w:gridSpan w:val="2"/>
            <w:noWrap/>
            <w:hideMark/>
          </w:tcPr>
          <w:p w14:paraId="00743007"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£36,453</w:t>
            </w:r>
          </w:p>
        </w:tc>
        <w:tc>
          <w:tcPr>
            <w:tcW w:w="2268" w:type="dxa"/>
            <w:noWrap/>
            <w:hideMark/>
          </w:tcPr>
          <w:p w14:paraId="04632FB9"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0.0%</w:t>
            </w:r>
          </w:p>
        </w:tc>
        <w:tc>
          <w:tcPr>
            <w:tcW w:w="2551" w:type="dxa"/>
            <w:noWrap/>
            <w:hideMark/>
          </w:tcPr>
          <w:p w14:paraId="6C2A8201"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10.8%</w:t>
            </w:r>
          </w:p>
        </w:tc>
        <w:tc>
          <w:tcPr>
            <w:tcW w:w="2977" w:type="dxa"/>
            <w:noWrap/>
            <w:hideMark/>
          </w:tcPr>
          <w:p w14:paraId="35CA55BC"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31.1%</w:t>
            </w:r>
          </w:p>
        </w:tc>
      </w:tr>
      <w:tr w:rsidR="00184FD5" w:rsidRPr="00184FD5" w14:paraId="0DC3FD6F" w14:textId="77777777" w:rsidTr="00FA420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59" w:type="dxa"/>
            <w:tcBorders>
              <w:bottom w:val="single" w:sz="4" w:space="0" w:color="34A3AE"/>
            </w:tcBorders>
            <w:noWrap/>
            <w:hideMark/>
          </w:tcPr>
          <w:p w14:paraId="169505BC"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Count</w:t>
            </w:r>
          </w:p>
        </w:tc>
        <w:tc>
          <w:tcPr>
            <w:tcW w:w="1203" w:type="dxa"/>
            <w:tcBorders>
              <w:bottom w:val="single" w:sz="4" w:space="0" w:color="34A3AE"/>
            </w:tcBorders>
            <w:noWrap/>
            <w:hideMark/>
          </w:tcPr>
          <w:p w14:paraId="6E09C719"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215</w:t>
            </w:r>
          </w:p>
        </w:tc>
        <w:tc>
          <w:tcPr>
            <w:tcW w:w="1203" w:type="dxa"/>
            <w:gridSpan w:val="2"/>
            <w:tcBorders>
              <w:bottom w:val="single" w:sz="4" w:space="0" w:color="34A3AE"/>
            </w:tcBorders>
            <w:noWrap/>
            <w:hideMark/>
          </w:tcPr>
          <w:p w14:paraId="08280711"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16</w:t>
            </w:r>
          </w:p>
        </w:tc>
        <w:tc>
          <w:tcPr>
            <w:tcW w:w="1203" w:type="dxa"/>
            <w:gridSpan w:val="2"/>
            <w:tcBorders>
              <w:bottom w:val="single" w:sz="4" w:space="0" w:color="34A3AE"/>
            </w:tcBorders>
            <w:noWrap/>
            <w:hideMark/>
          </w:tcPr>
          <w:p w14:paraId="02A3C9C2"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173</w:t>
            </w:r>
          </w:p>
        </w:tc>
        <w:tc>
          <w:tcPr>
            <w:tcW w:w="2010" w:type="dxa"/>
            <w:gridSpan w:val="2"/>
            <w:tcBorders>
              <w:bottom w:val="single" w:sz="4" w:space="0" w:color="34A3AE"/>
            </w:tcBorders>
            <w:noWrap/>
            <w:hideMark/>
          </w:tcPr>
          <w:p w14:paraId="607FBBE4"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58</w:t>
            </w:r>
          </w:p>
        </w:tc>
        <w:tc>
          <w:tcPr>
            <w:tcW w:w="7796" w:type="dxa"/>
            <w:gridSpan w:val="3"/>
            <w:tcBorders>
              <w:bottom w:val="single" w:sz="4" w:space="0" w:color="34A3AE"/>
            </w:tcBorders>
            <w:noWrap/>
          </w:tcPr>
          <w:p w14:paraId="1F57FE50"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r>
      <w:tr w:rsidR="00184FD5" w:rsidRPr="00184FD5" w14:paraId="18AB8C8C" w14:textId="77777777" w:rsidTr="00FA4203">
        <w:trPr>
          <w:trHeight w:val="264"/>
        </w:trPr>
        <w:tc>
          <w:tcPr>
            <w:cnfStyle w:val="001000000000" w:firstRow="0" w:lastRow="0" w:firstColumn="1" w:lastColumn="0" w:oddVBand="0" w:evenVBand="0" w:oddHBand="0" w:evenHBand="0" w:firstRowFirstColumn="0" w:firstRowLastColumn="0" w:lastRowFirstColumn="0" w:lastRowLastColumn="0"/>
            <w:tcW w:w="14474" w:type="dxa"/>
            <w:gridSpan w:val="11"/>
            <w:tcBorders>
              <w:top w:val="single" w:sz="4" w:space="0" w:color="34A3AE"/>
              <w:left w:val="single" w:sz="4" w:space="0" w:color="34A3AE"/>
              <w:bottom w:val="single" w:sz="4" w:space="0" w:color="34A3AE"/>
              <w:right w:val="single" w:sz="4" w:space="0" w:color="34A3AE"/>
            </w:tcBorders>
            <w:shd w:val="clear" w:color="auto" w:fill="34A3AE"/>
            <w:noWrap/>
            <w:hideMark/>
          </w:tcPr>
          <w:p w14:paraId="076DC1AC" w14:textId="77777777" w:rsidR="00184FD5" w:rsidRPr="00C96009" w:rsidRDefault="00184FD5" w:rsidP="00A03923">
            <w:pPr>
              <w:spacing w:line="288" w:lineRule="auto"/>
              <w:rPr>
                <w:rFonts w:eastAsia="Cynulliad Sans" w:cs="Times New Roman"/>
                <w:color w:val="FFFFFF" w:themeColor="background1"/>
                <w:sz w:val="22"/>
                <w:szCs w:val="22"/>
              </w:rPr>
            </w:pPr>
            <w:r w:rsidRPr="00C96009">
              <w:rPr>
                <w:rFonts w:eastAsia="Cynulliad Sans" w:cs="Times New Roman"/>
                <w:color w:val="FFFFFF" w:themeColor="background1"/>
                <w:sz w:val="22"/>
                <w:szCs w:val="22"/>
              </w:rPr>
              <w:t>Total FTE Salary</w:t>
            </w:r>
          </w:p>
        </w:tc>
      </w:tr>
      <w:tr w:rsidR="00184FD5" w:rsidRPr="00184FD5" w14:paraId="78C3EA9E" w14:textId="77777777" w:rsidTr="00FA420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59" w:type="dxa"/>
            <w:tcBorders>
              <w:top w:val="single" w:sz="4" w:space="0" w:color="34A3AE"/>
              <w:left w:val="single" w:sz="4" w:space="0" w:color="34A3AE"/>
              <w:bottom w:val="single" w:sz="4" w:space="0" w:color="34A3AE"/>
              <w:right w:val="single" w:sz="4" w:space="0" w:color="34A3AE"/>
            </w:tcBorders>
            <w:shd w:val="clear" w:color="auto" w:fill="34A3AE"/>
            <w:noWrap/>
            <w:hideMark/>
          </w:tcPr>
          <w:p w14:paraId="083B9F05" w14:textId="77777777" w:rsidR="00184FD5" w:rsidRPr="00E94285" w:rsidRDefault="00184FD5" w:rsidP="00A03923">
            <w:pPr>
              <w:spacing w:line="288" w:lineRule="auto"/>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 </w:t>
            </w:r>
          </w:p>
        </w:tc>
        <w:tc>
          <w:tcPr>
            <w:tcW w:w="2558" w:type="dxa"/>
            <w:gridSpan w:val="4"/>
            <w:tcBorders>
              <w:top w:val="single" w:sz="4" w:space="0" w:color="34A3AE"/>
              <w:left w:val="single" w:sz="4" w:space="0" w:color="34A3AE"/>
              <w:bottom w:val="single" w:sz="4" w:space="0" w:color="34A3AE"/>
              <w:right w:val="single" w:sz="4" w:space="0" w:color="34A3AE"/>
            </w:tcBorders>
            <w:shd w:val="clear" w:color="auto" w:fill="34A3AE"/>
            <w:noWrap/>
            <w:hideMark/>
          </w:tcPr>
          <w:p w14:paraId="72503338"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Male</w:t>
            </w:r>
          </w:p>
        </w:tc>
        <w:tc>
          <w:tcPr>
            <w:tcW w:w="3061" w:type="dxa"/>
            <w:gridSpan w:val="3"/>
            <w:tcBorders>
              <w:top w:val="single" w:sz="4" w:space="0" w:color="34A3AE"/>
              <w:left w:val="single" w:sz="4" w:space="0" w:color="34A3AE"/>
              <w:bottom w:val="single" w:sz="4" w:space="0" w:color="34A3AE"/>
              <w:right w:val="single" w:sz="4" w:space="0" w:color="34A3AE"/>
            </w:tcBorders>
            <w:shd w:val="clear" w:color="auto" w:fill="34A3AE"/>
            <w:noWrap/>
            <w:hideMark/>
          </w:tcPr>
          <w:p w14:paraId="09C9D239"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Female</w:t>
            </w:r>
          </w:p>
        </w:tc>
        <w:tc>
          <w:tcPr>
            <w:tcW w:w="7796" w:type="dxa"/>
            <w:gridSpan w:val="3"/>
            <w:tcBorders>
              <w:top w:val="single" w:sz="4" w:space="0" w:color="34A3AE"/>
              <w:left w:val="single" w:sz="4" w:space="0" w:color="34A3AE"/>
              <w:bottom w:val="single" w:sz="4" w:space="0" w:color="34A3AE"/>
              <w:right w:val="single" w:sz="4" w:space="0" w:color="34A3AE"/>
            </w:tcBorders>
            <w:shd w:val="clear" w:color="auto" w:fill="34A3AE"/>
            <w:noWrap/>
            <w:hideMark/>
          </w:tcPr>
          <w:p w14:paraId="1E929752" w14:textId="77777777" w:rsidR="00184FD5" w:rsidRPr="00E9428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color w:val="FFFFFF" w:themeColor="background1"/>
                <w:sz w:val="22"/>
                <w:szCs w:val="22"/>
              </w:rPr>
            </w:pPr>
            <w:r w:rsidRPr="00E94285">
              <w:rPr>
                <w:rFonts w:eastAsia="Cynulliad Sans" w:cs="Times New Roman"/>
                <w:color w:val="FFFFFF" w:themeColor="background1"/>
                <w:sz w:val="22"/>
                <w:szCs w:val="22"/>
              </w:rPr>
              <w:t>% Difference </w:t>
            </w:r>
          </w:p>
        </w:tc>
      </w:tr>
      <w:tr w:rsidR="00184FD5" w:rsidRPr="00184FD5" w14:paraId="50A11A3B" w14:textId="77777777" w:rsidTr="00FA4203">
        <w:trPr>
          <w:trHeight w:val="1056"/>
        </w:trPr>
        <w:tc>
          <w:tcPr>
            <w:cnfStyle w:val="001000000000" w:firstRow="0" w:lastRow="0" w:firstColumn="1" w:lastColumn="0" w:oddVBand="0" w:evenVBand="0" w:oddHBand="0" w:evenHBand="0" w:firstRowFirstColumn="0" w:firstRowLastColumn="0" w:lastRowFirstColumn="0" w:lastRowLastColumn="0"/>
            <w:tcW w:w="1059" w:type="dxa"/>
            <w:tcBorders>
              <w:top w:val="single" w:sz="4" w:space="0" w:color="34A3AE"/>
            </w:tcBorders>
            <w:noWrap/>
            <w:hideMark/>
          </w:tcPr>
          <w:p w14:paraId="0F0CBAB2"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 </w:t>
            </w:r>
          </w:p>
        </w:tc>
        <w:tc>
          <w:tcPr>
            <w:tcW w:w="1355" w:type="dxa"/>
            <w:gridSpan w:val="2"/>
            <w:tcBorders>
              <w:top w:val="single" w:sz="4" w:space="0" w:color="34A3AE"/>
            </w:tcBorders>
            <w:noWrap/>
            <w:hideMark/>
          </w:tcPr>
          <w:p w14:paraId="7662E58D"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Full-time (FT)</w:t>
            </w:r>
          </w:p>
        </w:tc>
        <w:tc>
          <w:tcPr>
            <w:tcW w:w="1203" w:type="dxa"/>
            <w:gridSpan w:val="2"/>
            <w:tcBorders>
              <w:top w:val="single" w:sz="4" w:space="0" w:color="34A3AE"/>
            </w:tcBorders>
            <w:noWrap/>
            <w:hideMark/>
          </w:tcPr>
          <w:p w14:paraId="4B0D367A"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Part-time (PT)</w:t>
            </w:r>
          </w:p>
        </w:tc>
        <w:tc>
          <w:tcPr>
            <w:tcW w:w="1203" w:type="dxa"/>
            <w:gridSpan w:val="2"/>
            <w:tcBorders>
              <w:top w:val="single" w:sz="4" w:space="0" w:color="34A3AE"/>
            </w:tcBorders>
            <w:noWrap/>
            <w:hideMark/>
          </w:tcPr>
          <w:p w14:paraId="54EFC1A8"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Full-time</w:t>
            </w:r>
          </w:p>
          <w:p w14:paraId="0CE533FC"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(FT)</w:t>
            </w:r>
          </w:p>
        </w:tc>
        <w:tc>
          <w:tcPr>
            <w:tcW w:w="1858" w:type="dxa"/>
            <w:tcBorders>
              <w:top w:val="single" w:sz="4" w:space="0" w:color="34A3AE"/>
            </w:tcBorders>
            <w:noWrap/>
            <w:hideMark/>
          </w:tcPr>
          <w:p w14:paraId="5007F7E1"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Part-time</w:t>
            </w:r>
          </w:p>
          <w:p w14:paraId="5CBD4874"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(PT)</w:t>
            </w:r>
          </w:p>
        </w:tc>
        <w:tc>
          <w:tcPr>
            <w:tcW w:w="2268" w:type="dxa"/>
            <w:tcBorders>
              <w:top w:val="single" w:sz="4" w:space="0" w:color="34A3AE"/>
            </w:tcBorders>
            <w:hideMark/>
          </w:tcPr>
          <w:p w14:paraId="6491828C"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Male PT vs Male FT</w:t>
            </w:r>
          </w:p>
        </w:tc>
        <w:tc>
          <w:tcPr>
            <w:tcW w:w="2551" w:type="dxa"/>
            <w:tcBorders>
              <w:top w:val="single" w:sz="4" w:space="0" w:color="34A3AE"/>
            </w:tcBorders>
            <w:hideMark/>
          </w:tcPr>
          <w:p w14:paraId="3D4A3117"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Female PT vs Female FT</w:t>
            </w:r>
          </w:p>
        </w:tc>
        <w:tc>
          <w:tcPr>
            <w:tcW w:w="2977" w:type="dxa"/>
            <w:tcBorders>
              <w:top w:val="single" w:sz="4" w:space="0" w:color="34A3AE"/>
            </w:tcBorders>
            <w:hideMark/>
          </w:tcPr>
          <w:p w14:paraId="624A1F56"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Female PT vs Male FT</w:t>
            </w:r>
          </w:p>
        </w:tc>
      </w:tr>
      <w:tr w:rsidR="00184FD5" w:rsidRPr="00184FD5" w14:paraId="451778B8" w14:textId="77777777" w:rsidTr="009227A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59" w:type="dxa"/>
            <w:noWrap/>
            <w:hideMark/>
          </w:tcPr>
          <w:p w14:paraId="4F782A2A"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Mean</w:t>
            </w:r>
          </w:p>
        </w:tc>
        <w:tc>
          <w:tcPr>
            <w:tcW w:w="1355" w:type="dxa"/>
            <w:gridSpan w:val="2"/>
            <w:noWrap/>
            <w:hideMark/>
          </w:tcPr>
          <w:p w14:paraId="4FF67A34"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£34,406</w:t>
            </w:r>
          </w:p>
        </w:tc>
        <w:tc>
          <w:tcPr>
            <w:tcW w:w="1203" w:type="dxa"/>
            <w:gridSpan w:val="2"/>
            <w:noWrap/>
            <w:hideMark/>
          </w:tcPr>
          <w:p w14:paraId="3DBAFAC7"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£31,102</w:t>
            </w:r>
          </w:p>
        </w:tc>
        <w:tc>
          <w:tcPr>
            <w:tcW w:w="1203" w:type="dxa"/>
            <w:gridSpan w:val="2"/>
            <w:noWrap/>
            <w:hideMark/>
          </w:tcPr>
          <w:p w14:paraId="49336E9F"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£35,193</w:t>
            </w:r>
          </w:p>
        </w:tc>
        <w:tc>
          <w:tcPr>
            <w:tcW w:w="1858" w:type="dxa"/>
            <w:noWrap/>
            <w:hideMark/>
          </w:tcPr>
          <w:p w14:paraId="5527AACB"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£39,503</w:t>
            </w:r>
          </w:p>
        </w:tc>
        <w:tc>
          <w:tcPr>
            <w:tcW w:w="2268" w:type="dxa"/>
            <w:noWrap/>
            <w:hideMark/>
          </w:tcPr>
          <w:p w14:paraId="6DD01033"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-9.6%</w:t>
            </w:r>
          </w:p>
        </w:tc>
        <w:tc>
          <w:tcPr>
            <w:tcW w:w="2551" w:type="dxa"/>
            <w:noWrap/>
            <w:hideMark/>
          </w:tcPr>
          <w:p w14:paraId="620A684A"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12.2%</w:t>
            </w:r>
          </w:p>
        </w:tc>
        <w:tc>
          <w:tcPr>
            <w:tcW w:w="2977" w:type="dxa"/>
            <w:noWrap/>
            <w:hideMark/>
          </w:tcPr>
          <w:p w14:paraId="444FD126"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14.8%</w:t>
            </w:r>
          </w:p>
        </w:tc>
      </w:tr>
      <w:tr w:rsidR="00184FD5" w:rsidRPr="00184FD5" w14:paraId="65E901B7" w14:textId="77777777" w:rsidTr="009227A1">
        <w:trPr>
          <w:trHeight w:val="264"/>
        </w:trPr>
        <w:tc>
          <w:tcPr>
            <w:cnfStyle w:val="001000000000" w:firstRow="0" w:lastRow="0" w:firstColumn="1" w:lastColumn="0" w:oddVBand="0" w:evenVBand="0" w:oddHBand="0" w:evenHBand="0" w:firstRowFirstColumn="0" w:firstRowLastColumn="0" w:lastRowFirstColumn="0" w:lastRowLastColumn="0"/>
            <w:tcW w:w="1059" w:type="dxa"/>
            <w:noWrap/>
            <w:hideMark/>
          </w:tcPr>
          <w:p w14:paraId="307F037C"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Median</w:t>
            </w:r>
          </w:p>
        </w:tc>
        <w:tc>
          <w:tcPr>
            <w:tcW w:w="1355" w:type="dxa"/>
            <w:gridSpan w:val="2"/>
            <w:noWrap/>
            <w:hideMark/>
          </w:tcPr>
          <w:p w14:paraId="13B58151"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£28,176</w:t>
            </w:r>
          </w:p>
        </w:tc>
        <w:tc>
          <w:tcPr>
            <w:tcW w:w="1203" w:type="dxa"/>
            <w:gridSpan w:val="2"/>
            <w:noWrap/>
            <w:hideMark/>
          </w:tcPr>
          <w:p w14:paraId="352ECF07"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£27,806</w:t>
            </w:r>
          </w:p>
        </w:tc>
        <w:tc>
          <w:tcPr>
            <w:tcW w:w="1203" w:type="dxa"/>
            <w:gridSpan w:val="2"/>
            <w:noWrap/>
            <w:hideMark/>
          </w:tcPr>
          <w:p w14:paraId="5FC907C6"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£32,922</w:t>
            </w:r>
          </w:p>
        </w:tc>
        <w:tc>
          <w:tcPr>
            <w:tcW w:w="1858" w:type="dxa"/>
            <w:noWrap/>
            <w:hideMark/>
          </w:tcPr>
          <w:p w14:paraId="3E3C14AA"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£37,364</w:t>
            </w:r>
          </w:p>
        </w:tc>
        <w:tc>
          <w:tcPr>
            <w:tcW w:w="2268" w:type="dxa"/>
            <w:noWrap/>
            <w:hideMark/>
          </w:tcPr>
          <w:p w14:paraId="21F1A084"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-1.3%</w:t>
            </w:r>
          </w:p>
        </w:tc>
        <w:tc>
          <w:tcPr>
            <w:tcW w:w="2551" w:type="dxa"/>
            <w:noWrap/>
            <w:hideMark/>
          </w:tcPr>
          <w:p w14:paraId="4DA7AADD"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13.5%</w:t>
            </w:r>
          </w:p>
        </w:tc>
        <w:tc>
          <w:tcPr>
            <w:tcW w:w="2977" w:type="dxa"/>
            <w:noWrap/>
            <w:hideMark/>
          </w:tcPr>
          <w:p w14:paraId="3452C1FE"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32.6%</w:t>
            </w:r>
          </w:p>
        </w:tc>
      </w:tr>
      <w:tr w:rsidR="00184FD5" w:rsidRPr="00184FD5" w14:paraId="36571352" w14:textId="77777777" w:rsidTr="009227A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59" w:type="dxa"/>
            <w:noWrap/>
            <w:hideMark/>
          </w:tcPr>
          <w:p w14:paraId="36F3BE85"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Count</w:t>
            </w:r>
          </w:p>
        </w:tc>
        <w:tc>
          <w:tcPr>
            <w:tcW w:w="1355" w:type="dxa"/>
            <w:gridSpan w:val="2"/>
            <w:noWrap/>
            <w:hideMark/>
          </w:tcPr>
          <w:p w14:paraId="3FE0C384"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215</w:t>
            </w:r>
          </w:p>
        </w:tc>
        <w:tc>
          <w:tcPr>
            <w:tcW w:w="1203" w:type="dxa"/>
            <w:gridSpan w:val="2"/>
            <w:noWrap/>
            <w:hideMark/>
          </w:tcPr>
          <w:p w14:paraId="2CB97892"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16</w:t>
            </w:r>
          </w:p>
        </w:tc>
        <w:tc>
          <w:tcPr>
            <w:tcW w:w="1203" w:type="dxa"/>
            <w:gridSpan w:val="2"/>
            <w:noWrap/>
            <w:hideMark/>
          </w:tcPr>
          <w:p w14:paraId="625335CE"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173</w:t>
            </w:r>
          </w:p>
        </w:tc>
        <w:tc>
          <w:tcPr>
            <w:tcW w:w="1858" w:type="dxa"/>
            <w:noWrap/>
            <w:hideMark/>
          </w:tcPr>
          <w:p w14:paraId="2D440597"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58</w:t>
            </w:r>
          </w:p>
        </w:tc>
        <w:tc>
          <w:tcPr>
            <w:tcW w:w="7796" w:type="dxa"/>
            <w:gridSpan w:val="3"/>
            <w:noWrap/>
          </w:tcPr>
          <w:p w14:paraId="25973EF5"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tc>
      </w:tr>
    </w:tbl>
    <w:p w14:paraId="0B2C59D7" w14:textId="19E53ABE" w:rsidR="00184FD5" w:rsidRDefault="00184FD5" w:rsidP="00184FD5">
      <w:pPr>
        <w:pStyle w:val="3Copy-text"/>
        <w:rPr>
          <w:lang w:eastAsia="en-GB"/>
        </w:rPr>
      </w:pPr>
      <w:r w:rsidRPr="00184FD5">
        <w:rPr>
          <w:lang w:eastAsia="en-GB"/>
        </w:rPr>
        <w:t>Source: Assembly Commission HR Payroll IT Reporting System</w:t>
      </w:r>
    </w:p>
    <w:p w14:paraId="0A0B40AD" w14:textId="6D5681BC" w:rsidR="00E94285" w:rsidRDefault="00E94285">
      <w:pPr>
        <w:rPr>
          <w:color w:val="414042"/>
          <w:kern w:val="24"/>
          <w:lang w:eastAsia="en-GB"/>
        </w:rPr>
      </w:pPr>
      <w:r>
        <w:rPr>
          <w:lang w:eastAsia="en-GB"/>
        </w:rPr>
        <w:br w:type="page"/>
      </w:r>
    </w:p>
    <w:p w14:paraId="74C89939" w14:textId="77777777" w:rsidR="00184FD5" w:rsidRPr="00184FD5" w:rsidRDefault="00184FD5" w:rsidP="00184FD5">
      <w:pPr>
        <w:pStyle w:val="3Copy-text"/>
        <w:rPr>
          <w:lang w:eastAsia="en-GB"/>
        </w:rPr>
      </w:pPr>
      <w:r w:rsidRPr="00184FD5">
        <w:rPr>
          <w:lang w:eastAsia="en-GB"/>
        </w:rPr>
        <w:lastRenderedPageBreak/>
        <w:t xml:space="preserve">Analysis: </w:t>
      </w:r>
    </w:p>
    <w:p w14:paraId="4EAB0CBA" w14:textId="062F9BAE" w:rsidR="00184FD5" w:rsidRPr="00184FD5" w:rsidRDefault="00184FD5" w:rsidP="00184FD5">
      <w:pPr>
        <w:pStyle w:val="4Bulletlist"/>
        <w:rPr>
          <w:lang w:eastAsia="en-GB"/>
        </w:rPr>
      </w:pPr>
      <w:r w:rsidRPr="00184FD5">
        <w:rPr>
          <w:lang w:eastAsia="en-GB"/>
        </w:rPr>
        <w:t>Part-time women earn more than full-time men – this again is due to the prevalence of men in the TS pay band and the prevalence of women in the higher pay bands; and</w:t>
      </w:r>
    </w:p>
    <w:p w14:paraId="5ECBF57E" w14:textId="2576B024" w:rsidR="00184FD5" w:rsidRDefault="00184FD5" w:rsidP="00184FD5">
      <w:pPr>
        <w:pStyle w:val="4Bulletlist"/>
        <w:rPr>
          <w:lang w:eastAsia="en-GB"/>
        </w:rPr>
      </w:pPr>
      <w:r w:rsidRPr="00184FD5">
        <w:rPr>
          <w:lang w:eastAsia="en-GB"/>
        </w:rPr>
        <w:t>Last year Female PT versus Male FT difference in total median pay was 22.4%, compared to this reporting year of 32.6%. This is likely explained by a slight increase in the number of male employees at TS pay band over the reporting year and the length of service of female employees in higher pay bands.</w:t>
      </w:r>
    </w:p>
    <w:p w14:paraId="55501C7C" w14:textId="77777777" w:rsidR="00184FD5" w:rsidRDefault="00184FD5">
      <w:pPr>
        <w:spacing w:before="0" w:after="160" w:line="259" w:lineRule="auto"/>
        <w:rPr>
          <w:rFonts w:eastAsia="Lucida Sans" w:cs="Times New Roman"/>
          <w:color w:val="414042"/>
          <w:kern w:val="24"/>
          <w:lang w:eastAsia="en-GB"/>
        </w:rPr>
      </w:pPr>
      <w:r>
        <w:rPr>
          <w:lang w:eastAsia="en-GB"/>
        </w:rPr>
        <w:br w:type="page"/>
      </w:r>
    </w:p>
    <w:p w14:paraId="5485A0CD" w14:textId="60E2FEDB" w:rsidR="00184FD5" w:rsidRDefault="00184FD5" w:rsidP="00184FD5">
      <w:pPr>
        <w:pStyle w:val="2Sub-headings"/>
        <w:rPr>
          <w:lang w:eastAsia="en-GB"/>
        </w:rPr>
      </w:pPr>
      <w:r w:rsidRPr="00184FD5">
        <w:rPr>
          <w:lang w:eastAsia="en-GB"/>
        </w:rPr>
        <w:lastRenderedPageBreak/>
        <w:t>Age Analysis</w:t>
      </w:r>
    </w:p>
    <w:p w14:paraId="229AF8B3" w14:textId="48CA9345" w:rsidR="00634FE8" w:rsidRDefault="00634FE8" w:rsidP="00634FE8">
      <w:pPr>
        <w:pStyle w:val="Caption"/>
        <w:keepNext/>
      </w:pPr>
      <w:r>
        <w:t xml:space="preserve">Table </w:t>
      </w:r>
      <w:fldSimple w:instr=" SEQ Table \* ARABIC ">
        <w:r w:rsidR="00332158">
          <w:rPr>
            <w:noProof/>
          </w:rPr>
          <w:t>23</w:t>
        </w:r>
      </w:fldSimple>
      <w:r>
        <w:t xml:space="preserve">: </w:t>
      </w:r>
      <w:r w:rsidRPr="00D74371">
        <w:t>Analysis by Age Group</w:t>
      </w:r>
    </w:p>
    <w:tbl>
      <w:tblPr>
        <w:tblStyle w:val="GridTable4-Accent4"/>
        <w:tblW w:w="5000" w:type="pct"/>
        <w:tblLook w:val="04A0" w:firstRow="1" w:lastRow="0" w:firstColumn="1" w:lastColumn="0" w:noHBand="0" w:noVBand="1"/>
      </w:tblPr>
      <w:tblGrid>
        <w:gridCol w:w="1759"/>
        <w:gridCol w:w="1455"/>
        <w:gridCol w:w="2821"/>
        <w:gridCol w:w="2565"/>
        <w:gridCol w:w="3017"/>
        <w:gridCol w:w="3169"/>
      </w:tblGrid>
      <w:tr w:rsidR="00184FD5" w:rsidRPr="00184FD5" w14:paraId="41324599" w14:textId="77777777" w:rsidTr="00FA4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Borders>
              <w:top w:val="single" w:sz="4" w:space="0" w:color="34A3AE"/>
              <w:left w:val="single" w:sz="4" w:space="0" w:color="34A3AE"/>
              <w:bottom w:val="single" w:sz="4" w:space="0" w:color="34A3AE"/>
              <w:right w:val="single" w:sz="4" w:space="0" w:color="34A3AE"/>
            </w:tcBorders>
            <w:hideMark/>
          </w:tcPr>
          <w:p w14:paraId="1F5A6079" w14:textId="77777777" w:rsidR="00184FD5" w:rsidRPr="00184FD5" w:rsidRDefault="00184FD5" w:rsidP="00A03923">
            <w:pPr>
              <w:spacing w:line="288" w:lineRule="auto"/>
              <w:rPr>
                <w:rFonts w:eastAsia="Cynulliad Sans" w:cs="Times New Roman"/>
                <w:b w:val="0"/>
                <w:sz w:val="22"/>
                <w:szCs w:val="22"/>
              </w:rPr>
            </w:pPr>
            <w:r w:rsidRPr="00184FD5">
              <w:rPr>
                <w:rFonts w:eastAsia="Cynulliad Sans" w:cs="Times New Roman"/>
                <w:b w:val="0"/>
                <w:sz w:val="22"/>
                <w:szCs w:val="22"/>
              </w:rPr>
              <w:t>Age group</w:t>
            </w:r>
          </w:p>
        </w:tc>
        <w:tc>
          <w:tcPr>
            <w:tcW w:w="1367" w:type="dxa"/>
            <w:tcBorders>
              <w:top w:val="single" w:sz="4" w:space="0" w:color="34A3AE"/>
              <w:left w:val="single" w:sz="4" w:space="0" w:color="34A3AE"/>
              <w:bottom w:val="single" w:sz="4" w:space="0" w:color="34A3AE"/>
              <w:right w:val="single" w:sz="4" w:space="0" w:color="34A3AE"/>
            </w:tcBorders>
            <w:hideMark/>
          </w:tcPr>
          <w:p w14:paraId="6933BA9A" w14:textId="77777777" w:rsidR="00184FD5" w:rsidRPr="00184FD5"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84FD5">
              <w:rPr>
                <w:rFonts w:eastAsia="Cynulliad Sans" w:cs="Times New Roman"/>
                <w:b w:val="0"/>
                <w:sz w:val="22"/>
                <w:szCs w:val="22"/>
              </w:rPr>
              <w:t>Count</w:t>
            </w:r>
          </w:p>
        </w:tc>
        <w:tc>
          <w:tcPr>
            <w:tcW w:w="2650" w:type="dxa"/>
            <w:tcBorders>
              <w:top w:val="single" w:sz="4" w:space="0" w:color="34A3AE"/>
              <w:left w:val="single" w:sz="4" w:space="0" w:color="34A3AE"/>
              <w:bottom w:val="single" w:sz="4" w:space="0" w:color="34A3AE"/>
              <w:right w:val="single" w:sz="4" w:space="0" w:color="34A3AE"/>
            </w:tcBorders>
            <w:hideMark/>
          </w:tcPr>
          <w:p w14:paraId="008A8C14" w14:textId="77777777" w:rsidR="00184FD5" w:rsidRPr="00184FD5"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84FD5">
              <w:rPr>
                <w:rFonts w:eastAsia="Cynulliad Sans" w:cs="Times New Roman"/>
                <w:b w:val="0"/>
                <w:sz w:val="22"/>
                <w:szCs w:val="22"/>
              </w:rPr>
              <w:t>Mean Basic FTE Salary</w:t>
            </w:r>
          </w:p>
        </w:tc>
        <w:tc>
          <w:tcPr>
            <w:tcW w:w="2410" w:type="dxa"/>
            <w:tcBorders>
              <w:top w:val="single" w:sz="4" w:space="0" w:color="34A3AE"/>
              <w:left w:val="single" w:sz="4" w:space="0" w:color="34A3AE"/>
              <w:bottom w:val="single" w:sz="4" w:space="0" w:color="34A3AE"/>
              <w:right w:val="single" w:sz="4" w:space="0" w:color="34A3AE"/>
            </w:tcBorders>
            <w:hideMark/>
          </w:tcPr>
          <w:p w14:paraId="5E2C7E7B" w14:textId="77777777" w:rsidR="00184FD5" w:rsidRPr="00184FD5"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84FD5">
              <w:rPr>
                <w:rFonts w:eastAsia="Cynulliad Sans" w:cs="Times New Roman"/>
                <w:b w:val="0"/>
                <w:sz w:val="22"/>
                <w:szCs w:val="22"/>
              </w:rPr>
              <w:t>Mean Total FTE Salary</w:t>
            </w:r>
          </w:p>
        </w:tc>
        <w:tc>
          <w:tcPr>
            <w:tcW w:w="2835" w:type="dxa"/>
            <w:tcBorders>
              <w:top w:val="single" w:sz="4" w:space="0" w:color="34A3AE"/>
              <w:left w:val="single" w:sz="4" w:space="0" w:color="34A3AE"/>
              <w:bottom w:val="single" w:sz="4" w:space="0" w:color="34A3AE"/>
              <w:right w:val="single" w:sz="4" w:space="0" w:color="34A3AE"/>
            </w:tcBorders>
            <w:hideMark/>
          </w:tcPr>
          <w:p w14:paraId="6BFD1CC2" w14:textId="77777777" w:rsidR="00184FD5" w:rsidRPr="00184FD5"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84FD5">
              <w:rPr>
                <w:rFonts w:eastAsia="Cynulliad Sans" w:cs="Times New Roman"/>
                <w:b w:val="0"/>
                <w:sz w:val="22"/>
                <w:szCs w:val="22"/>
              </w:rPr>
              <w:t>Median Basic FTE Salary</w:t>
            </w:r>
          </w:p>
        </w:tc>
        <w:tc>
          <w:tcPr>
            <w:tcW w:w="2977" w:type="dxa"/>
            <w:tcBorders>
              <w:top w:val="single" w:sz="4" w:space="0" w:color="34A3AE"/>
              <w:left w:val="single" w:sz="4" w:space="0" w:color="34A3AE"/>
              <w:bottom w:val="single" w:sz="4" w:space="0" w:color="34A3AE"/>
              <w:right w:val="single" w:sz="4" w:space="0" w:color="34A3AE"/>
            </w:tcBorders>
            <w:hideMark/>
          </w:tcPr>
          <w:p w14:paraId="68452F3E" w14:textId="77777777" w:rsidR="00184FD5" w:rsidRPr="00184FD5" w:rsidRDefault="00184FD5"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184FD5">
              <w:rPr>
                <w:rFonts w:eastAsia="Cynulliad Sans" w:cs="Times New Roman"/>
                <w:b w:val="0"/>
                <w:sz w:val="22"/>
                <w:szCs w:val="22"/>
              </w:rPr>
              <w:t>Median Total FTE Salary</w:t>
            </w:r>
          </w:p>
        </w:tc>
      </w:tr>
      <w:tr w:rsidR="00184FD5" w:rsidRPr="00184FD5" w14:paraId="7B46C26C" w14:textId="77777777" w:rsidTr="00FA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Borders>
              <w:top w:val="single" w:sz="4" w:space="0" w:color="34A3AE"/>
            </w:tcBorders>
            <w:hideMark/>
          </w:tcPr>
          <w:p w14:paraId="40A4E3E3"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Under 21</w:t>
            </w:r>
          </w:p>
        </w:tc>
        <w:tc>
          <w:tcPr>
            <w:tcW w:w="1367" w:type="dxa"/>
            <w:tcBorders>
              <w:top w:val="single" w:sz="4" w:space="0" w:color="34A3AE"/>
            </w:tcBorders>
            <w:hideMark/>
          </w:tcPr>
          <w:p w14:paraId="10C7451F"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w:t>
            </w:r>
          </w:p>
        </w:tc>
        <w:tc>
          <w:tcPr>
            <w:tcW w:w="2650" w:type="dxa"/>
            <w:tcBorders>
              <w:top w:val="single" w:sz="4" w:space="0" w:color="34A3AE"/>
            </w:tcBorders>
            <w:hideMark/>
          </w:tcPr>
          <w:p w14:paraId="47B37EF1"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£16,700</w:t>
            </w:r>
          </w:p>
        </w:tc>
        <w:tc>
          <w:tcPr>
            <w:tcW w:w="2410" w:type="dxa"/>
            <w:tcBorders>
              <w:top w:val="single" w:sz="4" w:space="0" w:color="34A3AE"/>
            </w:tcBorders>
            <w:hideMark/>
          </w:tcPr>
          <w:p w14:paraId="4C19C4BB"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£16,700</w:t>
            </w:r>
          </w:p>
        </w:tc>
        <w:tc>
          <w:tcPr>
            <w:tcW w:w="2835" w:type="dxa"/>
            <w:tcBorders>
              <w:top w:val="single" w:sz="4" w:space="0" w:color="34A3AE"/>
            </w:tcBorders>
            <w:hideMark/>
          </w:tcPr>
          <w:p w14:paraId="139D2A54"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£16,258</w:t>
            </w:r>
          </w:p>
        </w:tc>
        <w:tc>
          <w:tcPr>
            <w:tcW w:w="2977" w:type="dxa"/>
            <w:tcBorders>
              <w:top w:val="single" w:sz="4" w:space="0" w:color="34A3AE"/>
            </w:tcBorders>
            <w:hideMark/>
          </w:tcPr>
          <w:p w14:paraId="0F6D9DAD"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£16,258</w:t>
            </w:r>
          </w:p>
        </w:tc>
      </w:tr>
      <w:tr w:rsidR="00184FD5" w:rsidRPr="00184FD5" w14:paraId="3B663A5C" w14:textId="77777777" w:rsidTr="00A03923">
        <w:tc>
          <w:tcPr>
            <w:cnfStyle w:val="001000000000" w:firstRow="0" w:lastRow="0" w:firstColumn="1" w:lastColumn="0" w:oddVBand="0" w:evenVBand="0" w:oddHBand="0" w:evenHBand="0" w:firstRowFirstColumn="0" w:firstRowLastColumn="0" w:lastRowFirstColumn="0" w:lastRowLastColumn="0"/>
            <w:tcW w:w="1653" w:type="dxa"/>
            <w:hideMark/>
          </w:tcPr>
          <w:p w14:paraId="649D9B80"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21-25</w:t>
            </w:r>
          </w:p>
        </w:tc>
        <w:tc>
          <w:tcPr>
            <w:tcW w:w="1367" w:type="dxa"/>
            <w:hideMark/>
          </w:tcPr>
          <w:p w14:paraId="0D63577E"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27</w:t>
            </w:r>
          </w:p>
        </w:tc>
        <w:tc>
          <w:tcPr>
            <w:tcW w:w="2650" w:type="dxa"/>
            <w:hideMark/>
          </w:tcPr>
          <w:p w14:paraId="37203605"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£21,350</w:t>
            </w:r>
          </w:p>
        </w:tc>
        <w:tc>
          <w:tcPr>
            <w:tcW w:w="2410" w:type="dxa"/>
            <w:hideMark/>
          </w:tcPr>
          <w:p w14:paraId="69C52EF6"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£21,693</w:t>
            </w:r>
          </w:p>
        </w:tc>
        <w:tc>
          <w:tcPr>
            <w:tcW w:w="2835" w:type="dxa"/>
            <w:hideMark/>
          </w:tcPr>
          <w:p w14:paraId="4CA788B4"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£20,791</w:t>
            </w:r>
          </w:p>
        </w:tc>
        <w:tc>
          <w:tcPr>
            <w:tcW w:w="2977" w:type="dxa"/>
            <w:hideMark/>
          </w:tcPr>
          <w:p w14:paraId="52344C76"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£20,791</w:t>
            </w:r>
          </w:p>
        </w:tc>
      </w:tr>
      <w:tr w:rsidR="00184FD5" w:rsidRPr="00184FD5" w14:paraId="52D74208" w14:textId="77777777" w:rsidTr="00A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hideMark/>
          </w:tcPr>
          <w:p w14:paraId="5BD9C00D"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26-30</w:t>
            </w:r>
          </w:p>
        </w:tc>
        <w:tc>
          <w:tcPr>
            <w:tcW w:w="1367" w:type="dxa"/>
            <w:hideMark/>
          </w:tcPr>
          <w:p w14:paraId="4BA98A63"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63</w:t>
            </w:r>
          </w:p>
        </w:tc>
        <w:tc>
          <w:tcPr>
            <w:tcW w:w="2650" w:type="dxa"/>
            <w:hideMark/>
          </w:tcPr>
          <w:p w14:paraId="422EE5BC"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£25,801</w:t>
            </w:r>
          </w:p>
        </w:tc>
        <w:tc>
          <w:tcPr>
            <w:tcW w:w="2410" w:type="dxa"/>
            <w:hideMark/>
          </w:tcPr>
          <w:p w14:paraId="1C303B1C"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£26,116</w:t>
            </w:r>
          </w:p>
        </w:tc>
        <w:tc>
          <w:tcPr>
            <w:tcW w:w="2835" w:type="dxa"/>
            <w:hideMark/>
          </w:tcPr>
          <w:p w14:paraId="01586489"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£22,902</w:t>
            </w:r>
          </w:p>
        </w:tc>
        <w:tc>
          <w:tcPr>
            <w:tcW w:w="2977" w:type="dxa"/>
            <w:hideMark/>
          </w:tcPr>
          <w:p w14:paraId="37159A8F"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£23,956</w:t>
            </w:r>
          </w:p>
        </w:tc>
      </w:tr>
      <w:tr w:rsidR="00184FD5" w:rsidRPr="00184FD5" w14:paraId="1F906627" w14:textId="77777777" w:rsidTr="00A03923">
        <w:tc>
          <w:tcPr>
            <w:cnfStyle w:val="001000000000" w:firstRow="0" w:lastRow="0" w:firstColumn="1" w:lastColumn="0" w:oddVBand="0" w:evenVBand="0" w:oddHBand="0" w:evenHBand="0" w:firstRowFirstColumn="0" w:firstRowLastColumn="0" w:lastRowFirstColumn="0" w:lastRowLastColumn="0"/>
            <w:tcW w:w="1653" w:type="dxa"/>
            <w:hideMark/>
          </w:tcPr>
          <w:p w14:paraId="270D094B"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31-35</w:t>
            </w:r>
          </w:p>
        </w:tc>
        <w:tc>
          <w:tcPr>
            <w:tcW w:w="1367" w:type="dxa"/>
            <w:hideMark/>
          </w:tcPr>
          <w:p w14:paraId="3A2A5AAA"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97</w:t>
            </w:r>
          </w:p>
        </w:tc>
        <w:tc>
          <w:tcPr>
            <w:tcW w:w="2650" w:type="dxa"/>
            <w:hideMark/>
          </w:tcPr>
          <w:p w14:paraId="05E4EC20"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£33,132</w:t>
            </w:r>
          </w:p>
        </w:tc>
        <w:tc>
          <w:tcPr>
            <w:tcW w:w="2410" w:type="dxa"/>
            <w:hideMark/>
          </w:tcPr>
          <w:p w14:paraId="3A433C3A"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£33,493</w:t>
            </w:r>
          </w:p>
        </w:tc>
        <w:tc>
          <w:tcPr>
            <w:tcW w:w="2835" w:type="dxa"/>
            <w:hideMark/>
          </w:tcPr>
          <w:p w14:paraId="406A442D"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£32,893</w:t>
            </w:r>
          </w:p>
        </w:tc>
        <w:tc>
          <w:tcPr>
            <w:tcW w:w="2977" w:type="dxa"/>
            <w:hideMark/>
          </w:tcPr>
          <w:p w14:paraId="47C65AA6"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£32,893</w:t>
            </w:r>
          </w:p>
        </w:tc>
      </w:tr>
      <w:tr w:rsidR="00184FD5" w:rsidRPr="00184FD5" w14:paraId="01497BCB" w14:textId="77777777" w:rsidTr="00A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hideMark/>
          </w:tcPr>
          <w:p w14:paraId="01ABA377"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36-40</w:t>
            </w:r>
          </w:p>
        </w:tc>
        <w:tc>
          <w:tcPr>
            <w:tcW w:w="1367" w:type="dxa"/>
            <w:hideMark/>
          </w:tcPr>
          <w:p w14:paraId="30AAAFAC"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78</w:t>
            </w:r>
          </w:p>
        </w:tc>
        <w:tc>
          <w:tcPr>
            <w:tcW w:w="2650" w:type="dxa"/>
            <w:hideMark/>
          </w:tcPr>
          <w:p w14:paraId="1F22301B"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£38,481</w:t>
            </w:r>
          </w:p>
        </w:tc>
        <w:tc>
          <w:tcPr>
            <w:tcW w:w="2410" w:type="dxa"/>
            <w:hideMark/>
          </w:tcPr>
          <w:p w14:paraId="7D9C4562"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£38,829</w:t>
            </w:r>
          </w:p>
        </w:tc>
        <w:tc>
          <w:tcPr>
            <w:tcW w:w="2835" w:type="dxa"/>
            <w:hideMark/>
          </w:tcPr>
          <w:p w14:paraId="6F1ECF0A"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£36,453</w:t>
            </w:r>
          </w:p>
        </w:tc>
        <w:tc>
          <w:tcPr>
            <w:tcW w:w="2977" w:type="dxa"/>
            <w:hideMark/>
          </w:tcPr>
          <w:p w14:paraId="0BF99804"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£36,639</w:t>
            </w:r>
          </w:p>
        </w:tc>
      </w:tr>
      <w:tr w:rsidR="00184FD5" w:rsidRPr="00184FD5" w14:paraId="77EA645F" w14:textId="77777777" w:rsidTr="00A03923">
        <w:tc>
          <w:tcPr>
            <w:cnfStyle w:val="001000000000" w:firstRow="0" w:lastRow="0" w:firstColumn="1" w:lastColumn="0" w:oddVBand="0" w:evenVBand="0" w:oddHBand="0" w:evenHBand="0" w:firstRowFirstColumn="0" w:firstRowLastColumn="0" w:lastRowFirstColumn="0" w:lastRowLastColumn="0"/>
            <w:tcW w:w="1653" w:type="dxa"/>
            <w:hideMark/>
          </w:tcPr>
          <w:p w14:paraId="7B1EBFE8"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41-45</w:t>
            </w:r>
          </w:p>
        </w:tc>
        <w:tc>
          <w:tcPr>
            <w:tcW w:w="1367" w:type="dxa"/>
            <w:hideMark/>
          </w:tcPr>
          <w:p w14:paraId="65B52B14"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55</w:t>
            </w:r>
          </w:p>
        </w:tc>
        <w:tc>
          <w:tcPr>
            <w:tcW w:w="2650" w:type="dxa"/>
            <w:hideMark/>
          </w:tcPr>
          <w:p w14:paraId="7242971F"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£40,810</w:t>
            </w:r>
          </w:p>
        </w:tc>
        <w:tc>
          <w:tcPr>
            <w:tcW w:w="2410" w:type="dxa"/>
            <w:hideMark/>
          </w:tcPr>
          <w:p w14:paraId="7FAC7FF0"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£42,019</w:t>
            </w:r>
          </w:p>
        </w:tc>
        <w:tc>
          <w:tcPr>
            <w:tcW w:w="2835" w:type="dxa"/>
            <w:hideMark/>
          </w:tcPr>
          <w:p w14:paraId="17B507CF"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£36,453</w:t>
            </w:r>
          </w:p>
        </w:tc>
        <w:tc>
          <w:tcPr>
            <w:tcW w:w="2977" w:type="dxa"/>
            <w:hideMark/>
          </w:tcPr>
          <w:p w14:paraId="16F96027"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£39,605</w:t>
            </w:r>
          </w:p>
        </w:tc>
      </w:tr>
      <w:tr w:rsidR="00184FD5" w:rsidRPr="00184FD5" w14:paraId="24F998AE" w14:textId="77777777" w:rsidTr="00A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hideMark/>
          </w:tcPr>
          <w:p w14:paraId="76199728"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46-50</w:t>
            </w:r>
          </w:p>
        </w:tc>
        <w:tc>
          <w:tcPr>
            <w:tcW w:w="1367" w:type="dxa"/>
            <w:hideMark/>
          </w:tcPr>
          <w:p w14:paraId="4EC8C31B"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47</w:t>
            </w:r>
          </w:p>
        </w:tc>
        <w:tc>
          <w:tcPr>
            <w:tcW w:w="2650" w:type="dxa"/>
            <w:hideMark/>
          </w:tcPr>
          <w:p w14:paraId="06F1BA1B"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£36,951</w:t>
            </w:r>
          </w:p>
        </w:tc>
        <w:tc>
          <w:tcPr>
            <w:tcW w:w="2410" w:type="dxa"/>
            <w:hideMark/>
          </w:tcPr>
          <w:p w14:paraId="027D4261"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£37,940</w:t>
            </w:r>
          </w:p>
        </w:tc>
        <w:tc>
          <w:tcPr>
            <w:tcW w:w="2835" w:type="dxa"/>
            <w:hideMark/>
          </w:tcPr>
          <w:p w14:paraId="1A6828EE"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£36,453</w:t>
            </w:r>
          </w:p>
        </w:tc>
        <w:tc>
          <w:tcPr>
            <w:tcW w:w="2977" w:type="dxa"/>
            <w:hideMark/>
          </w:tcPr>
          <w:p w14:paraId="28F6F3F4"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£36,453</w:t>
            </w:r>
          </w:p>
        </w:tc>
      </w:tr>
      <w:tr w:rsidR="00184FD5" w:rsidRPr="00184FD5" w14:paraId="56B86C26" w14:textId="77777777" w:rsidTr="00A03923">
        <w:tc>
          <w:tcPr>
            <w:cnfStyle w:val="001000000000" w:firstRow="0" w:lastRow="0" w:firstColumn="1" w:lastColumn="0" w:oddVBand="0" w:evenVBand="0" w:oddHBand="0" w:evenHBand="0" w:firstRowFirstColumn="0" w:firstRowLastColumn="0" w:lastRowFirstColumn="0" w:lastRowLastColumn="0"/>
            <w:tcW w:w="1653" w:type="dxa"/>
            <w:hideMark/>
          </w:tcPr>
          <w:p w14:paraId="1663182A"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51-55</w:t>
            </w:r>
          </w:p>
        </w:tc>
        <w:tc>
          <w:tcPr>
            <w:tcW w:w="1367" w:type="dxa"/>
            <w:hideMark/>
          </w:tcPr>
          <w:p w14:paraId="72A2CBA3"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42</w:t>
            </w:r>
          </w:p>
        </w:tc>
        <w:tc>
          <w:tcPr>
            <w:tcW w:w="2650" w:type="dxa"/>
            <w:hideMark/>
          </w:tcPr>
          <w:p w14:paraId="6A6B17E2"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£43,020</w:t>
            </w:r>
          </w:p>
        </w:tc>
        <w:tc>
          <w:tcPr>
            <w:tcW w:w="2410" w:type="dxa"/>
            <w:hideMark/>
          </w:tcPr>
          <w:p w14:paraId="29803A0E"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£43,988</w:t>
            </w:r>
          </w:p>
        </w:tc>
        <w:tc>
          <w:tcPr>
            <w:tcW w:w="2835" w:type="dxa"/>
            <w:hideMark/>
          </w:tcPr>
          <w:p w14:paraId="373FF5B7"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£36,453</w:t>
            </w:r>
          </w:p>
        </w:tc>
        <w:tc>
          <w:tcPr>
            <w:tcW w:w="2977" w:type="dxa"/>
            <w:hideMark/>
          </w:tcPr>
          <w:p w14:paraId="2BC24406"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£36,453</w:t>
            </w:r>
          </w:p>
        </w:tc>
      </w:tr>
      <w:tr w:rsidR="00184FD5" w:rsidRPr="00184FD5" w14:paraId="68F14FE3" w14:textId="77777777" w:rsidTr="00A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hideMark/>
          </w:tcPr>
          <w:p w14:paraId="7C19E310"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56-60</w:t>
            </w:r>
          </w:p>
        </w:tc>
        <w:tc>
          <w:tcPr>
            <w:tcW w:w="1367" w:type="dxa"/>
            <w:hideMark/>
          </w:tcPr>
          <w:p w14:paraId="0828E749"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35</w:t>
            </w:r>
          </w:p>
        </w:tc>
        <w:tc>
          <w:tcPr>
            <w:tcW w:w="2650" w:type="dxa"/>
            <w:hideMark/>
          </w:tcPr>
          <w:p w14:paraId="243D8269"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£39,696</w:t>
            </w:r>
          </w:p>
        </w:tc>
        <w:tc>
          <w:tcPr>
            <w:tcW w:w="2410" w:type="dxa"/>
            <w:hideMark/>
          </w:tcPr>
          <w:p w14:paraId="66C0B409"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£40,002</w:t>
            </w:r>
          </w:p>
        </w:tc>
        <w:tc>
          <w:tcPr>
            <w:tcW w:w="2835" w:type="dxa"/>
            <w:hideMark/>
          </w:tcPr>
          <w:p w14:paraId="09C79876"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£27,806</w:t>
            </w:r>
          </w:p>
        </w:tc>
        <w:tc>
          <w:tcPr>
            <w:tcW w:w="2977" w:type="dxa"/>
            <w:hideMark/>
          </w:tcPr>
          <w:p w14:paraId="49309C84"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£27,806</w:t>
            </w:r>
          </w:p>
        </w:tc>
      </w:tr>
      <w:tr w:rsidR="00184FD5" w:rsidRPr="00184FD5" w14:paraId="0AF41DE9" w14:textId="77777777" w:rsidTr="00A03923">
        <w:tc>
          <w:tcPr>
            <w:cnfStyle w:val="001000000000" w:firstRow="0" w:lastRow="0" w:firstColumn="1" w:lastColumn="0" w:oddVBand="0" w:evenVBand="0" w:oddHBand="0" w:evenHBand="0" w:firstRowFirstColumn="0" w:firstRowLastColumn="0" w:lastRowFirstColumn="0" w:lastRowLastColumn="0"/>
            <w:tcW w:w="1653" w:type="dxa"/>
            <w:hideMark/>
          </w:tcPr>
          <w:p w14:paraId="0C92B2CD"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61-65</w:t>
            </w:r>
          </w:p>
        </w:tc>
        <w:tc>
          <w:tcPr>
            <w:tcW w:w="1367" w:type="dxa"/>
            <w:hideMark/>
          </w:tcPr>
          <w:p w14:paraId="72E21532"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14</w:t>
            </w:r>
          </w:p>
        </w:tc>
        <w:tc>
          <w:tcPr>
            <w:tcW w:w="2650" w:type="dxa"/>
            <w:hideMark/>
          </w:tcPr>
          <w:p w14:paraId="66541E3E"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£26,172</w:t>
            </w:r>
          </w:p>
        </w:tc>
        <w:tc>
          <w:tcPr>
            <w:tcW w:w="2410" w:type="dxa"/>
            <w:hideMark/>
          </w:tcPr>
          <w:p w14:paraId="44190CC3"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£26,553</w:t>
            </w:r>
          </w:p>
        </w:tc>
        <w:tc>
          <w:tcPr>
            <w:tcW w:w="2835" w:type="dxa"/>
            <w:hideMark/>
          </w:tcPr>
          <w:p w14:paraId="100B5F52"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£22,067</w:t>
            </w:r>
          </w:p>
        </w:tc>
        <w:tc>
          <w:tcPr>
            <w:tcW w:w="2977" w:type="dxa"/>
            <w:hideMark/>
          </w:tcPr>
          <w:p w14:paraId="1F549566" w14:textId="77777777" w:rsidR="00184FD5" w:rsidRPr="00184FD5" w:rsidRDefault="00184FD5"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£22,067</w:t>
            </w:r>
          </w:p>
        </w:tc>
      </w:tr>
      <w:tr w:rsidR="00184FD5" w:rsidRPr="00184FD5" w14:paraId="379A705C" w14:textId="77777777" w:rsidTr="00A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hideMark/>
          </w:tcPr>
          <w:p w14:paraId="522C1B6E" w14:textId="77777777" w:rsidR="00184FD5" w:rsidRPr="00184FD5" w:rsidRDefault="00184FD5" w:rsidP="00A03923">
            <w:pPr>
              <w:spacing w:line="288" w:lineRule="auto"/>
              <w:rPr>
                <w:rFonts w:eastAsia="Cynulliad Sans" w:cs="Times New Roman"/>
                <w:sz w:val="22"/>
                <w:szCs w:val="22"/>
              </w:rPr>
            </w:pPr>
            <w:r w:rsidRPr="00184FD5">
              <w:rPr>
                <w:rFonts w:eastAsia="Cynulliad Sans" w:cs="Times New Roman"/>
                <w:sz w:val="22"/>
                <w:szCs w:val="22"/>
              </w:rPr>
              <w:t>65+</w:t>
            </w:r>
          </w:p>
        </w:tc>
        <w:tc>
          <w:tcPr>
            <w:tcW w:w="1367" w:type="dxa"/>
            <w:hideMark/>
          </w:tcPr>
          <w:p w14:paraId="0125361D"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1</w:t>
            </w:r>
          </w:p>
        </w:tc>
        <w:tc>
          <w:tcPr>
            <w:tcW w:w="2650" w:type="dxa"/>
            <w:hideMark/>
          </w:tcPr>
          <w:p w14:paraId="0B99A046"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£22,067</w:t>
            </w:r>
          </w:p>
        </w:tc>
        <w:tc>
          <w:tcPr>
            <w:tcW w:w="2410" w:type="dxa"/>
            <w:hideMark/>
          </w:tcPr>
          <w:p w14:paraId="1FA65794"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£22,067</w:t>
            </w:r>
          </w:p>
        </w:tc>
        <w:tc>
          <w:tcPr>
            <w:tcW w:w="2835" w:type="dxa"/>
            <w:hideMark/>
          </w:tcPr>
          <w:p w14:paraId="4B7A85F2"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£22,067</w:t>
            </w:r>
          </w:p>
        </w:tc>
        <w:tc>
          <w:tcPr>
            <w:tcW w:w="2977" w:type="dxa"/>
            <w:hideMark/>
          </w:tcPr>
          <w:p w14:paraId="36716773" w14:textId="77777777" w:rsidR="00184FD5" w:rsidRPr="00184FD5" w:rsidRDefault="00184FD5"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184FD5">
              <w:rPr>
                <w:rFonts w:eastAsia="Cynulliad Sans" w:cs="Times New Roman"/>
                <w:sz w:val="22"/>
                <w:szCs w:val="22"/>
              </w:rPr>
              <w:t>£22,067</w:t>
            </w:r>
          </w:p>
        </w:tc>
      </w:tr>
    </w:tbl>
    <w:p w14:paraId="31EC1154" w14:textId="3CBAFEEA" w:rsidR="00184FD5" w:rsidRDefault="00184FD5" w:rsidP="008A6D57">
      <w:pPr>
        <w:pStyle w:val="3Copy-text"/>
        <w:rPr>
          <w:lang w:eastAsia="en-GB"/>
        </w:rPr>
      </w:pPr>
      <w:r w:rsidRPr="00184FD5">
        <w:rPr>
          <w:lang w:eastAsia="en-GB"/>
        </w:rPr>
        <w:t>Source:  Assembly Commission HR Payroll IT Reporting System</w:t>
      </w:r>
    </w:p>
    <w:p w14:paraId="293F2208" w14:textId="77777777" w:rsidR="008A6D57" w:rsidRDefault="008A6D57" w:rsidP="008A6D57">
      <w:pPr>
        <w:pStyle w:val="3Copy-text"/>
        <w:rPr>
          <w:lang w:eastAsia="en-GB"/>
        </w:rPr>
      </w:pPr>
      <w:r>
        <w:rPr>
          <w:lang w:eastAsia="en-GB"/>
        </w:rPr>
        <w:t xml:space="preserve">Analysis: </w:t>
      </w:r>
    </w:p>
    <w:p w14:paraId="7609628C" w14:textId="6762A9B7" w:rsidR="008A6D57" w:rsidRDefault="008A6D57" w:rsidP="008A6D57">
      <w:pPr>
        <w:pStyle w:val="4Bulletlist"/>
        <w:rPr>
          <w:lang w:eastAsia="en-GB"/>
        </w:rPr>
      </w:pPr>
      <w:r>
        <w:rPr>
          <w:lang w:eastAsia="en-GB"/>
        </w:rPr>
        <w:t>The highest earners of total median salary are in 41-45 age bracket; and</w:t>
      </w:r>
    </w:p>
    <w:p w14:paraId="7ACC659B" w14:textId="1090557A" w:rsidR="008A6D57" w:rsidRDefault="008A6D57" w:rsidP="008A6D57">
      <w:pPr>
        <w:pStyle w:val="4Bulletlist"/>
        <w:rPr>
          <w:lang w:eastAsia="en-GB"/>
        </w:rPr>
      </w:pPr>
      <w:r>
        <w:rPr>
          <w:lang w:eastAsia="en-GB"/>
        </w:rPr>
        <w:t>Median salaries decrease for staff over 56 due to the predominance of older staff in the TS grade.</w:t>
      </w:r>
    </w:p>
    <w:p w14:paraId="7318944B" w14:textId="634D687F" w:rsidR="008A6D57" w:rsidRDefault="008A6D57" w:rsidP="008A6D57">
      <w:pPr>
        <w:pStyle w:val="2Sub-headings"/>
        <w:rPr>
          <w:lang w:eastAsia="en-GB"/>
        </w:rPr>
      </w:pPr>
      <w:r w:rsidRPr="008A6D57">
        <w:rPr>
          <w:lang w:eastAsia="en-GB"/>
        </w:rPr>
        <w:lastRenderedPageBreak/>
        <w:t>Disability Analysis</w:t>
      </w:r>
    </w:p>
    <w:p w14:paraId="6EA73D79" w14:textId="09A049C4" w:rsidR="00634FE8" w:rsidRDefault="00634FE8" w:rsidP="00634FE8">
      <w:pPr>
        <w:pStyle w:val="Caption"/>
        <w:keepNext/>
      </w:pPr>
      <w:r>
        <w:t xml:space="preserve">Table </w:t>
      </w:r>
      <w:fldSimple w:instr=" SEQ Table \* ARABIC ">
        <w:r w:rsidR="00332158">
          <w:rPr>
            <w:noProof/>
          </w:rPr>
          <w:t>24</w:t>
        </w:r>
      </w:fldSimple>
      <w:r>
        <w:t xml:space="preserve">: </w:t>
      </w:r>
      <w:r w:rsidRPr="00F43643">
        <w:t>Analysis by Disability Status</w:t>
      </w:r>
    </w:p>
    <w:tbl>
      <w:tblPr>
        <w:tblStyle w:val="GridTable4-Accent4"/>
        <w:tblW w:w="5000" w:type="pct"/>
        <w:tblLook w:val="04A0" w:firstRow="1" w:lastRow="0" w:firstColumn="1" w:lastColumn="0" w:noHBand="0" w:noVBand="1"/>
      </w:tblPr>
      <w:tblGrid>
        <w:gridCol w:w="2484"/>
        <w:gridCol w:w="148"/>
        <w:gridCol w:w="2669"/>
        <w:gridCol w:w="1926"/>
        <w:gridCol w:w="2668"/>
        <w:gridCol w:w="2964"/>
        <w:gridCol w:w="1927"/>
      </w:tblGrid>
      <w:tr w:rsidR="008A6D57" w:rsidRPr="008A6D57" w14:paraId="5D82E346" w14:textId="77777777" w:rsidTr="00FA4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1" w:type="dxa"/>
            <w:gridSpan w:val="3"/>
            <w:tcBorders>
              <w:top w:val="single" w:sz="4" w:space="0" w:color="34A3AE"/>
              <w:left w:val="single" w:sz="4" w:space="0" w:color="34A3AE"/>
              <w:bottom w:val="single" w:sz="4" w:space="0" w:color="34A3AE"/>
              <w:right w:val="single" w:sz="4" w:space="0" w:color="34A3AE"/>
            </w:tcBorders>
            <w:shd w:val="clear" w:color="auto" w:fill="34A3AE"/>
            <w:hideMark/>
          </w:tcPr>
          <w:p w14:paraId="21CEBF10" w14:textId="77777777" w:rsidR="008A6D57" w:rsidRPr="00FA4203" w:rsidRDefault="008A6D57" w:rsidP="00A03923">
            <w:pPr>
              <w:spacing w:line="288" w:lineRule="auto"/>
              <w:rPr>
                <w:rFonts w:eastAsia="Cynulliad Sans"/>
                <w:b w:val="0"/>
              </w:rPr>
            </w:pPr>
            <w:r w:rsidRPr="00FA4203">
              <w:rPr>
                <w:rFonts w:eastAsia="Cynulliad Sans"/>
                <w:b w:val="0"/>
              </w:rPr>
              <w:t>Mean Basic FTE Salary</w:t>
            </w:r>
          </w:p>
        </w:tc>
        <w:tc>
          <w:tcPr>
            <w:tcW w:w="1907" w:type="dxa"/>
            <w:vMerge w:val="restart"/>
            <w:tcBorders>
              <w:top w:val="single" w:sz="4" w:space="0" w:color="34A3AE"/>
              <w:left w:val="single" w:sz="4" w:space="0" w:color="34A3AE"/>
              <w:bottom w:val="single" w:sz="4" w:space="0" w:color="34A3AE"/>
              <w:right w:val="single" w:sz="4" w:space="0" w:color="34A3AE"/>
            </w:tcBorders>
            <w:shd w:val="clear" w:color="auto" w:fill="34A3AE"/>
            <w:hideMark/>
          </w:tcPr>
          <w:p w14:paraId="13849DA2" w14:textId="77777777" w:rsidR="008A6D57" w:rsidRPr="00FA4203" w:rsidRDefault="008A6D57"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b w:val="0"/>
              </w:rPr>
            </w:pPr>
            <w:r w:rsidRPr="00FA4203">
              <w:rPr>
                <w:rFonts w:eastAsia="Cynulliad Sans"/>
                <w:b w:val="0"/>
              </w:rPr>
              <w:t>% Difference</w:t>
            </w:r>
          </w:p>
        </w:tc>
        <w:tc>
          <w:tcPr>
            <w:tcW w:w="5577" w:type="dxa"/>
            <w:gridSpan w:val="2"/>
            <w:tcBorders>
              <w:top w:val="single" w:sz="4" w:space="0" w:color="34A3AE"/>
              <w:left w:val="single" w:sz="4" w:space="0" w:color="34A3AE"/>
              <w:bottom w:val="single" w:sz="4" w:space="0" w:color="34A3AE"/>
              <w:right w:val="single" w:sz="4" w:space="0" w:color="34A3AE"/>
            </w:tcBorders>
            <w:shd w:val="clear" w:color="auto" w:fill="34A3AE"/>
            <w:hideMark/>
          </w:tcPr>
          <w:p w14:paraId="61A01B01" w14:textId="77777777" w:rsidR="008A6D57" w:rsidRPr="00FA4203" w:rsidRDefault="008A6D57"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b w:val="0"/>
              </w:rPr>
            </w:pPr>
            <w:r w:rsidRPr="00FA4203">
              <w:rPr>
                <w:rFonts w:eastAsia="Cynulliad Sans"/>
                <w:b w:val="0"/>
              </w:rPr>
              <w:t>Mean Total FTE Salary</w:t>
            </w:r>
          </w:p>
        </w:tc>
        <w:tc>
          <w:tcPr>
            <w:tcW w:w="1908" w:type="dxa"/>
            <w:vMerge w:val="restart"/>
            <w:tcBorders>
              <w:top w:val="single" w:sz="4" w:space="0" w:color="34A3AE"/>
              <w:left w:val="single" w:sz="4" w:space="0" w:color="34A3AE"/>
              <w:bottom w:val="single" w:sz="4" w:space="0" w:color="34A3AE"/>
              <w:right w:val="single" w:sz="4" w:space="0" w:color="34A3AE"/>
            </w:tcBorders>
            <w:shd w:val="clear" w:color="auto" w:fill="34A3AE"/>
            <w:hideMark/>
          </w:tcPr>
          <w:p w14:paraId="5638D652" w14:textId="77777777" w:rsidR="008A6D57" w:rsidRPr="00FA4203" w:rsidRDefault="008A6D57"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b w:val="0"/>
              </w:rPr>
            </w:pPr>
            <w:r w:rsidRPr="00FA4203">
              <w:rPr>
                <w:rFonts w:eastAsia="Cynulliad Sans"/>
                <w:b w:val="0"/>
              </w:rPr>
              <w:t>% Difference</w:t>
            </w:r>
          </w:p>
        </w:tc>
      </w:tr>
      <w:tr w:rsidR="008A6D57" w:rsidRPr="008A6D57" w14:paraId="6EC229F1" w14:textId="77777777" w:rsidTr="00FA4203">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608" w:type="dxa"/>
            <w:gridSpan w:val="2"/>
            <w:tcBorders>
              <w:top w:val="single" w:sz="4" w:space="0" w:color="34A3AE"/>
              <w:left w:val="single" w:sz="4" w:space="0" w:color="34A3AE"/>
              <w:bottom w:val="single" w:sz="4" w:space="0" w:color="34A3AE"/>
              <w:right w:val="single" w:sz="4" w:space="0" w:color="34A3AE"/>
            </w:tcBorders>
            <w:shd w:val="clear" w:color="auto" w:fill="34A3AE"/>
            <w:hideMark/>
          </w:tcPr>
          <w:p w14:paraId="0155EC52" w14:textId="77777777" w:rsidR="008A6D57" w:rsidRPr="00FA4203" w:rsidRDefault="008A6D57" w:rsidP="00A03923">
            <w:pPr>
              <w:spacing w:line="288" w:lineRule="auto"/>
              <w:rPr>
                <w:rFonts w:eastAsia="Cynulliad Sans"/>
                <w:b w:val="0"/>
                <w:color w:val="FFFFFF" w:themeColor="background1"/>
              </w:rPr>
            </w:pPr>
            <w:r w:rsidRPr="00FA4203">
              <w:rPr>
                <w:rFonts w:eastAsia="Cynulliad Sans"/>
                <w:b w:val="0"/>
                <w:color w:val="FFFFFF" w:themeColor="background1"/>
              </w:rPr>
              <w:t>Disabled Staff</w:t>
            </w:r>
          </w:p>
        </w:tc>
        <w:tc>
          <w:tcPr>
            <w:tcW w:w="2643" w:type="dxa"/>
            <w:tcBorders>
              <w:top w:val="single" w:sz="4" w:space="0" w:color="34A3AE"/>
              <w:left w:val="single" w:sz="4" w:space="0" w:color="34A3AE"/>
              <w:bottom w:val="single" w:sz="4" w:space="0" w:color="34A3AE"/>
              <w:right w:val="single" w:sz="4" w:space="0" w:color="34A3AE"/>
            </w:tcBorders>
            <w:shd w:val="clear" w:color="auto" w:fill="34A3AE"/>
            <w:hideMark/>
          </w:tcPr>
          <w:p w14:paraId="5857AAE1"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Non-Disabled Staff</w:t>
            </w:r>
          </w:p>
        </w:tc>
        <w:tc>
          <w:tcPr>
            <w:tcW w:w="1907" w:type="dxa"/>
            <w:vMerge/>
            <w:tcBorders>
              <w:top w:val="single" w:sz="4" w:space="0" w:color="34A3AE"/>
              <w:left w:val="single" w:sz="4" w:space="0" w:color="34A3AE"/>
              <w:bottom w:val="single" w:sz="4" w:space="0" w:color="34A3AE"/>
              <w:right w:val="single" w:sz="4" w:space="0" w:color="34A3AE"/>
            </w:tcBorders>
            <w:shd w:val="clear" w:color="auto" w:fill="34A3AE"/>
            <w:hideMark/>
          </w:tcPr>
          <w:p w14:paraId="36435035"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p>
        </w:tc>
        <w:tc>
          <w:tcPr>
            <w:tcW w:w="2642" w:type="dxa"/>
            <w:tcBorders>
              <w:top w:val="single" w:sz="4" w:space="0" w:color="34A3AE"/>
              <w:left w:val="single" w:sz="4" w:space="0" w:color="34A3AE"/>
              <w:bottom w:val="single" w:sz="4" w:space="0" w:color="34A3AE"/>
              <w:right w:val="single" w:sz="4" w:space="0" w:color="34A3AE"/>
            </w:tcBorders>
            <w:shd w:val="clear" w:color="auto" w:fill="34A3AE"/>
            <w:hideMark/>
          </w:tcPr>
          <w:p w14:paraId="4F68D7B8"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Disabled Staff</w:t>
            </w:r>
          </w:p>
        </w:tc>
        <w:tc>
          <w:tcPr>
            <w:tcW w:w="2935" w:type="dxa"/>
            <w:tcBorders>
              <w:top w:val="single" w:sz="4" w:space="0" w:color="34A3AE"/>
              <w:left w:val="single" w:sz="4" w:space="0" w:color="34A3AE"/>
              <w:bottom w:val="single" w:sz="4" w:space="0" w:color="34A3AE"/>
              <w:right w:val="single" w:sz="4" w:space="0" w:color="34A3AE"/>
            </w:tcBorders>
            <w:shd w:val="clear" w:color="auto" w:fill="34A3AE"/>
            <w:hideMark/>
          </w:tcPr>
          <w:p w14:paraId="04289F37"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Non-Disabled Staff</w:t>
            </w:r>
          </w:p>
        </w:tc>
        <w:tc>
          <w:tcPr>
            <w:tcW w:w="1908" w:type="dxa"/>
            <w:vMerge/>
            <w:tcBorders>
              <w:top w:val="single" w:sz="4" w:space="0" w:color="34A3AE"/>
              <w:left w:val="single" w:sz="4" w:space="0" w:color="34A3AE"/>
              <w:bottom w:val="single" w:sz="4" w:space="0" w:color="34A3AE"/>
              <w:right w:val="single" w:sz="4" w:space="0" w:color="34A3AE"/>
            </w:tcBorders>
            <w:shd w:val="clear" w:color="auto" w:fill="34A3AE"/>
            <w:hideMark/>
          </w:tcPr>
          <w:p w14:paraId="2570ADA4"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p>
        </w:tc>
      </w:tr>
      <w:tr w:rsidR="008A6D57" w:rsidRPr="008A6D57" w14:paraId="4FE93A1B" w14:textId="77777777" w:rsidTr="00FA4203">
        <w:tc>
          <w:tcPr>
            <w:cnfStyle w:val="001000000000" w:firstRow="0" w:lastRow="0" w:firstColumn="1" w:lastColumn="0" w:oddVBand="0" w:evenVBand="0" w:oddHBand="0" w:evenHBand="0" w:firstRowFirstColumn="0" w:firstRowLastColumn="0" w:lastRowFirstColumn="0" w:lastRowLastColumn="0"/>
            <w:tcW w:w="2608" w:type="dxa"/>
            <w:gridSpan w:val="2"/>
            <w:tcBorders>
              <w:top w:val="single" w:sz="4" w:space="0" w:color="34A3AE"/>
              <w:bottom w:val="single" w:sz="4" w:space="0" w:color="34A3AE"/>
            </w:tcBorders>
            <w:hideMark/>
          </w:tcPr>
          <w:p w14:paraId="29CFF9B0" w14:textId="77777777" w:rsidR="008A6D57" w:rsidRPr="008A6D57" w:rsidRDefault="008A6D57" w:rsidP="00A03923">
            <w:pPr>
              <w:spacing w:line="288" w:lineRule="auto"/>
              <w:rPr>
                <w:rFonts w:eastAsia="Cynulliad Sans"/>
              </w:rPr>
            </w:pPr>
            <w:r w:rsidRPr="008A6D57">
              <w:rPr>
                <w:rFonts w:eastAsia="Cynulliad Sans"/>
              </w:rPr>
              <w:t>£31,043</w:t>
            </w:r>
          </w:p>
        </w:tc>
        <w:tc>
          <w:tcPr>
            <w:tcW w:w="2643" w:type="dxa"/>
            <w:tcBorders>
              <w:top w:val="single" w:sz="4" w:space="0" w:color="34A3AE"/>
              <w:bottom w:val="single" w:sz="4" w:space="0" w:color="34A3AE"/>
            </w:tcBorders>
            <w:hideMark/>
          </w:tcPr>
          <w:p w14:paraId="2AAAA796" w14:textId="77777777" w:rsidR="008A6D57" w:rsidRPr="008A6D57"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8A6D57">
              <w:rPr>
                <w:rFonts w:eastAsia="Cynulliad Sans"/>
              </w:rPr>
              <w:t>£35,248</w:t>
            </w:r>
          </w:p>
        </w:tc>
        <w:tc>
          <w:tcPr>
            <w:tcW w:w="1907" w:type="dxa"/>
            <w:tcBorders>
              <w:top w:val="single" w:sz="4" w:space="0" w:color="34A3AE"/>
              <w:bottom w:val="single" w:sz="4" w:space="0" w:color="34A3AE"/>
            </w:tcBorders>
            <w:hideMark/>
          </w:tcPr>
          <w:p w14:paraId="6FEBE661" w14:textId="77777777" w:rsidR="008A6D57" w:rsidRPr="008A6D57"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8A6D57">
              <w:rPr>
                <w:rFonts w:eastAsia="Cynulliad Sans"/>
              </w:rPr>
              <w:t>-11.9%</w:t>
            </w:r>
          </w:p>
        </w:tc>
        <w:tc>
          <w:tcPr>
            <w:tcW w:w="2642" w:type="dxa"/>
            <w:tcBorders>
              <w:top w:val="single" w:sz="4" w:space="0" w:color="34A3AE"/>
              <w:bottom w:val="single" w:sz="4" w:space="0" w:color="34A3AE"/>
            </w:tcBorders>
            <w:hideMark/>
          </w:tcPr>
          <w:p w14:paraId="47F1FC9E" w14:textId="77777777" w:rsidR="008A6D57" w:rsidRPr="008A6D57"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8A6D57">
              <w:rPr>
                <w:rFonts w:eastAsia="Cynulliad Sans"/>
              </w:rPr>
              <w:t>£31,276</w:t>
            </w:r>
          </w:p>
        </w:tc>
        <w:tc>
          <w:tcPr>
            <w:tcW w:w="2935" w:type="dxa"/>
            <w:tcBorders>
              <w:top w:val="single" w:sz="4" w:space="0" w:color="34A3AE"/>
              <w:bottom w:val="single" w:sz="4" w:space="0" w:color="34A3AE"/>
            </w:tcBorders>
            <w:hideMark/>
          </w:tcPr>
          <w:p w14:paraId="29750A19" w14:textId="77777777" w:rsidR="008A6D57" w:rsidRPr="008A6D57"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8A6D57">
              <w:rPr>
                <w:rFonts w:eastAsia="Cynulliad Sans"/>
              </w:rPr>
              <w:t>£35,790</w:t>
            </w:r>
          </w:p>
        </w:tc>
        <w:tc>
          <w:tcPr>
            <w:tcW w:w="1908" w:type="dxa"/>
            <w:tcBorders>
              <w:top w:val="single" w:sz="4" w:space="0" w:color="34A3AE"/>
              <w:bottom w:val="single" w:sz="4" w:space="0" w:color="34A3AE"/>
            </w:tcBorders>
            <w:hideMark/>
          </w:tcPr>
          <w:p w14:paraId="0A112C9D" w14:textId="77777777" w:rsidR="008A6D57" w:rsidRPr="008A6D57"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8A6D57">
              <w:rPr>
                <w:rFonts w:eastAsia="Cynulliad Sans"/>
              </w:rPr>
              <w:t>-12.6%</w:t>
            </w:r>
          </w:p>
        </w:tc>
      </w:tr>
      <w:tr w:rsidR="008A6D57" w:rsidRPr="008A6D57" w14:paraId="41855D6D" w14:textId="77777777" w:rsidTr="00FA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1" w:type="dxa"/>
            <w:gridSpan w:val="3"/>
            <w:tcBorders>
              <w:top w:val="single" w:sz="4" w:space="0" w:color="34A3AE"/>
              <w:left w:val="single" w:sz="4" w:space="0" w:color="34A3AE"/>
              <w:bottom w:val="single" w:sz="4" w:space="0" w:color="34A3AE"/>
              <w:right w:val="single" w:sz="4" w:space="0" w:color="34A3AE"/>
            </w:tcBorders>
            <w:shd w:val="clear" w:color="auto" w:fill="34A3AE"/>
            <w:hideMark/>
          </w:tcPr>
          <w:p w14:paraId="45D3A07E" w14:textId="2F8E62BE" w:rsidR="008A6D57" w:rsidRPr="00FA4203" w:rsidRDefault="008A6D57" w:rsidP="00A03923">
            <w:pPr>
              <w:tabs>
                <w:tab w:val="left" w:pos="3348"/>
              </w:tabs>
              <w:spacing w:line="288" w:lineRule="auto"/>
              <w:rPr>
                <w:rFonts w:eastAsia="Cynulliad Sans"/>
                <w:b w:val="0"/>
                <w:color w:val="FFFFFF" w:themeColor="background1"/>
              </w:rPr>
            </w:pPr>
            <w:r w:rsidRPr="00FA4203">
              <w:rPr>
                <w:rFonts w:eastAsia="Cynulliad Sans"/>
                <w:b w:val="0"/>
                <w:color w:val="FFFFFF" w:themeColor="background1"/>
              </w:rPr>
              <w:t>Median Basic FTE Salary</w:t>
            </w:r>
            <w:r w:rsidRPr="00FA4203">
              <w:rPr>
                <w:rFonts w:eastAsia="Cynulliad Sans"/>
                <w:b w:val="0"/>
                <w:color w:val="FFFFFF" w:themeColor="background1"/>
              </w:rPr>
              <w:tab/>
            </w:r>
          </w:p>
        </w:tc>
        <w:tc>
          <w:tcPr>
            <w:tcW w:w="1907" w:type="dxa"/>
            <w:vMerge w:val="restart"/>
            <w:tcBorders>
              <w:top w:val="single" w:sz="4" w:space="0" w:color="34A3AE"/>
              <w:left w:val="single" w:sz="4" w:space="0" w:color="34A3AE"/>
              <w:bottom w:val="single" w:sz="4" w:space="0" w:color="34A3AE"/>
              <w:right w:val="single" w:sz="4" w:space="0" w:color="34A3AE"/>
            </w:tcBorders>
            <w:shd w:val="clear" w:color="auto" w:fill="34A3AE"/>
            <w:hideMark/>
          </w:tcPr>
          <w:p w14:paraId="62C0CFB2"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 Difference</w:t>
            </w:r>
          </w:p>
        </w:tc>
        <w:tc>
          <w:tcPr>
            <w:tcW w:w="5577" w:type="dxa"/>
            <w:gridSpan w:val="2"/>
            <w:tcBorders>
              <w:top w:val="single" w:sz="4" w:space="0" w:color="34A3AE"/>
              <w:left w:val="single" w:sz="4" w:space="0" w:color="34A3AE"/>
              <w:bottom w:val="single" w:sz="4" w:space="0" w:color="34A3AE"/>
              <w:right w:val="single" w:sz="4" w:space="0" w:color="34A3AE"/>
            </w:tcBorders>
            <w:shd w:val="clear" w:color="auto" w:fill="34A3AE"/>
            <w:hideMark/>
          </w:tcPr>
          <w:p w14:paraId="19ECDC46"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Median Total FTE Salary</w:t>
            </w:r>
          </w:p>
        </w:tc>
        <w:tc>
          <w:tcPr>
            <w:tcW w:w="1908" w:type="dxa"/>
            <w:vMerge w:val="restart"/>
            <w:tcBorders>
              <w:top w:val="single" w:sz="4" w:space="0" w:color="34A3AE"/>
              <w:left w:val="single" w:sz="4" w:space="0" w:color="34A3AE"/>
              <w:bottom w:val="single" w:sz="4" w:space="0" w:color="34A3AE"/>
              <w:right w:val="single" w:sz="4" w:space="0" w:color="34A3AE"/>
            </w:tcBorders>
            <w:shd w:val="clear" w:color="auto" w:fill="34A3AE"/>
            <w:hideMark/>
          </w:tcPr>
          <w:p w14:paraId="2ECB1F87"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 Difference</w:t>
            </w:r>
          </w:p>
        </w:tc>
      </w:tr>
      <w:tr w:rsidR="008A6D57" w:rsidRPr="008A6D57" w14:paraId="35871D55" w14:textId="77777777" w:rsidTr="00FA4203">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34A3AE"/>
              <w:left w:val="single" w:sz="4" w:space="0" w:color="34A3AE"/>
              <w:bottom w:val="single" w:sz="4" w:space="0" w:color="34A3AE"/>
              <w:right w:val="single" w:sz="4" w:space="0" w:color="34A3AE"/>
            </w:tcBorders>
            <w:shd w:val="clear" w:color="auto" w:fill="34A3AE"/>
            <w:hideMark/>
          </w:tcPr>
          <w:p w14:paraId="345E0134" w14:textId="77777777" w:rsidR="008A6D57" w:rsidRPr="00FA4203" w:rsidRDefault="008A6D57" w:rsidP="00A03923">
            <w:pPr>
              <w:spacing w:line="288" w:lineRule="auto"/>
              <w:rPr>
                <w:rFonts w:eastAsia="Cynulliad Sans"/>
                <w:b w:val="0"/>
                <w:color w:val="FFFFFF" w:themeColor="background1"/>
              </w:rPr>
            </w:pPr>
            <w:r w:rsidRPr="00FA4203">
              <w:rPr>
                <w:rFonts w:eastAsia="Cynulliad Sans"/>
                <w:b w:val="0"/>
                <w:color w:val="FFFFFF" w:themeColor="background1"/>
              </w:rPr>
              <w:t>Disabled Staff</w:t>
            </w:r>
          </w:p>
        </w:tc>
        <w:tc>
          <w:tcPr>
            <w:tcW w:w="2790" w:type="dxa"/>
            <w:gridSpan w:val="2"/>
            <w:tcBorders>
              <w:top w:val="single" w:sz="4" w:space="0" w:color="34A3AE"/>
              <w:left w:val="single" w:sz="4" w:space="0" w:color="34A3AE"/>
              <w:bottom w:val="single" w:sz="4" w:space="0" w:color="34A3AE"/>
              <w:right w:val="single" w:sz="4" w:space="0" w:color="34A3AE"/>
            </w:tcBorders>
            <w:shd w:val="clear" w:color="auto" w:fill="34A3AE"/>
            <w:hideMark/>
          </w:tcPr>
          <w:p w14:paraId="1561033B" w14:textId="77777777" w:rsidR="008A6D57" w:rsidRPr="00FA4203"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Non-Disabled Staff</w:t>
            </w:r>
          </w:p>
        </w:tc>
        <w:tc>
          <w:tcPr>
            <w:tcW w:w="1907" w:type="dxa"/>
            <w:vMerge/>
            <w:tcBorders>
              <w:top w:val="single" w:sz="4" w:space="0" w:color="34A3AE"/>
              <w:left w:val="single" w:sz="4" w:space="0" w:color="34A3AE"/>
              <w:bottom w:val="single" w:sz="4" w:space="0" w:color="34A3AE"/>
              <w:right w:val="single" w:sz="4" w:space="0" w:color="34A3AE"/>
            </w:tcBorders>
            <w:shd w:val="clear" w:color="auto" w:fill="34A3AE"/>
            <w:hideMark/>
          </w:tcPr>
          <w:p w14:paraId="45C5B205" w14:textId="77777777" w:rsidR="008A6D57" w:rsidRPr="00FA4203"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color w:val="FFFFFF" w:themeColor="background1"/>
              </w:rPr>
            </w:pPr>
          </w:p>
        </w:tc>
        <w:tc>
          <w:tcPr>
            <w:tcW w:w="2642" w:type="dxa"/>
            <w:tcBorders>
              <w:top w:val="single" w:sz="4" w:space="0" w:color="34A3AE"/>
              <w:left w:val="single" w:sz="4" w:space="0" w:color="34A3AE"/>
              <w:bottom w:val="single" w:sz="4" w:space="0" w:color="34A3AE"/>
              <w:right w:val="single" w:sz="4" w:space="0" w:color="34A3AE"/>
            </w:tcBorders>
            <w:shd w:val="clear" w:color="auto" w:fill="34A3AE"/>
            <w:hideMark/>
          </w:tcPr>
          <w:p w14:paraId="4C4B3D83" w14:textId="77777777" w:rsidR="008A6D57" w:rsidRPr="00FA4203"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Disabled Staff</w:t>
            </w:r>
          </w:p>
        </w:tc>
        <w:tc>
          <w:tcPr>
            <w:tcW w:w="2935" w:type="dxa"/>
            <w:tcBorders>
              <w:top w:val="single" w:sz="4" w:space="0" w:color="34A3AE"/>
              <w:left w:val="single" w:sz="4" w:space="0" w:color="34A3AE"/>
              <w:bottom w:val="single" w:sz="4" w:space="0" w:color="34A3AE"/>
              <w:right w:val="single" w:sz="4" w:space="0" w:color="34A3AE"/>
            </w:tcBorders>
            <w:shd w:val="clear" w:color="auto" w:fill="34A3AE"/>
            <w:hideMark/>
          </w:tcPr>
          <w:p w14:paraId="7D83A04E" w14:textId="77777777" w:rsidR="008A6D57" w:rsidRPr="00FA4203"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Non-Disabled Staff</w:t>
            </w:r>
          </w:p>
        </w:tc>
        <w:tc>
          <w:tcPr>
            <w:tcW w:w="1908" w:type="dxa"/>
            <w:vMerge/>
            <w:tcBorders>
              <w:top w:val="single" w:sz="4" w:space="0" w:color="34A3AE"/>
              <w:left w:val="single" w:sz="4" w:space="0" w:color="34A3AE"/>
              <w:bottom w:val="single" w:sz="4" w:space="0" w:color="34A3AE"/>
              <w:right w:val="single" w:sz="4" w:space="0" w:color="34A3AE"/>
            </w:tcBorders>
            <w:shd w:val="clear" w:color="auto" w:fill="34A3AE"/>
            <w:hideMark/>
          </w:tcPr>
          <w:p w14:paraId="3DA9C8BF" w14:textId="77777777" w:rsidR="008A6D57" w:rsidRPr="00FA4203"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color w:val="FFFFFF" w:themeColor="background1"/>
              </w:rPr>
            </w:pPr>
          </w:p>
        </w:tc>
      </w:tr>
      <w:tr w:rsidR="008A6D57" w:rsidRPr="008A6D57" w14:paraId="1917AD2A" w14:textId="77777777" w:rsidTr="00FA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34A3AE"/>
            </w:tcBorders>
            <w:hideMark/>
          </w:tcPr>
          <w:p w14:paraId="1B7D0678" w14:textId="77777777" w:rsidR="008A6D57" w:rsidRPr="008A6D57" w:rsidRDefault="008A6D57" w:rsidP="00A03923">
            <w:pPr>
              <w:spacing w:line="288" w:lineRule="auto"/>
              <w:rPr>
                <w:rFonts w:eastAsia="Cynulliad Sans"/>
              </w:rPr>
            </w:pPr>
            <w:r w:rsidRPr="008A6D57">
              <w:rPr>
                <w:rFonts w:eastAsia="Cynulliad Sans"/>
              </w:rPr>
              <w:t>£27,806</w:t>
            </w:r>
          </w:p>
        </w:tc>
        <w:tc>
          <w:tcPr>
            <w:tcW w:w="2790" w:type="dxa"/>
            <w:gridSpan w:val="2"/>
            <w:tcBorders>
              <w:top w:val="single" w:sz="4" w:space="0" w:color="34A3AE"/>
            </w:tcBorders>
            <w:hideMark/>
          </w:tcPr>
          <w:p w14:paraId="266DF31A" w14:textId="77777777" w:rsidR="008A6D57" w:rsidRPr="008A6D57"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8A6D57">
              <w:rPr>
                <w:rFonts w:eastAsia="Cynulliad Sans"/>
              </w:rPr>
              <w:t>£31,341</w:t>
            </w:r>
          </w:p>
        </w:tc>
        <w:tc>
          <w:tcPr>
            <w:tcW w:w="1907" w:type="dxa"/>
            <w:tcBorders>
              <w:top w:val="single" w:sz="4" w:space="0" w:color="34A3AE"/>
            </w:tcBorders>
            <w:hideMark/>
          </w:tcPr>
          <w:p w14:paraId="6313E730" w14:textId="77777777" w:rsidR="008A6D57" w:rsidRPr="008A6D57"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8A6D57">
              <w:rPr>
                <w:rFonts w:eastAsia="Cynulliad Sans"/>
              </w:rPr>
              <w:t>-11.3%</w:t>
            </w:r>
          </w:p>
        </w:tc>
        <w:tc>
          <w:tcPr>
            <w:tcW w:w="2642" w:type="dxa"/>
            <w:tcBorders>
              <w:top w:val="single" w:sz="4" w:space="0" w:color="34A3AE"/>
            </w:tcBorders>
            <w:hideMark/>
          </w:tcPr>
          <w:p w14:paraId="0D9905DD" w14:textId="77777777" w:rsidR="008A6D57" w:rsidRPr="008A6D57"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8A6D57">
              <w:rPr>
                <w:rFonts w:eastAsia="Cynulliad Sans"/>
              </w:rPr>
              <w:t>£27,806</w:t>
            </w:r>
          </w:p>
        </w:tc>
        <w:tc>
          <w:tcPr>
            <w:tcW w:w="2935" w:type="dxa"/>
            <w:tcBorders>
              <w:top w:val="single" w:sz="4" w:space="0" w:color="34A3AE"/>
            </w:tcBorders>
            <w:hideMark/>
          </w:tcPr>
          <w:p w14:paraId="4282B891" w14:textId="77777777" w:rsidR="008A6D57" w:rsidRPr="008A6D57"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8A6D57">
              <w:rPr>
                <w:rFonts w:eastAsia="Cynulliad Sans"/>
              </w:rPr>
              <w:t>£32,893</w:t>
            </w:r>
          </w:p>
        </w:tc>
        <w:tc>
          <w:tcPr>
            <w:tcW w:w="1908" w:type="dxa"/>
            <w:tcBorders>
              <w:top w:val="single" w:sz="4" w:space="0" w:color="34A3AE"/>
            </w:tcBorders>
            <w:hideMark/>
          </w:tcPr>
          <w:p w14:paraId="2BEF5EE1" w14:textId="77777777" w:rsidR="008A6D57" w:rsidRPr="008A6D57"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8A6D57">
              <w:rPr>
                <w:rFonts w:eastAsia="Cynulliad Sans"/>
              </w:rPr>
              <w:t>-15.5%</w:t>
            </w:r>
          </w:p>
        </w:tc>
      </w:tr>
    </w:tbl>
    <w:p w14:paraId="404B5CF5" w14:textId="2639E7F1" w:rsidR="008A6D57" w:rsidRPr="008A6D57" w:rsidRDefault="008A6D57" w:rsidP="008A6D57">
      <w:pPr>
        <w:pStyle w:val="3Copy-text"/>
        <w:rPr>
          <w:lang w:eastAsia="en-GB"/>
        </w:rPr>
      </w:pPr>
      <w:r w:rsidRPr="008A6D57">
        <w:rPr>
          <w:lang w:eastAsia="en-GB"/>
        </w:rPr>
        <w:t>Source:  Assembly Commission HR Payroll IT Reporting System</w:t>
      </w:r>
    </w:p>
    <w:p w14:paraId="00BA9DE4" w14:textId="77777777" w:rsidR="008A6D57" w:rsidRPr="008A6D57" w:rsidRDefault="008A6D57" w:rsidP="008A6D57">
      <w:pPr>
        <w:pStyle w:val="3Copy-text"/>
        <w:rPr>
          <w:lang w:eastAsia="en-GB"/>
        </w:rPr>
      </w:pPr>
      <w:r w:rsidRPr="008A6D57">
        <w:rPr>
          <w:lang w:eastAsia="en-GB"/>
        </w:rPr>
        <w:t>[27 staff identified as being Disabled; 397 staff identified as being Non-disabled; 38 staff chose not to reply]</w:t>
      </w:r>
    </w:p>
    <w:p w14:paraId="1247F35F" w14:textId="77777777" w:rsidR="008A6D57" w:rsidRPr="008A6D57" w:rsidRDefault="008A6D57" w:rsidP="008A6D57">
      <w:pPr>
        <w:pStyle w:val="3Copy-text"/>
        <w:rPr>
          <w:lang w:eastAsia="en-GB"/>
        </w:rPr>
      </w:pPr>
      <w:r w:rsidRPr="008A6D57">
        <w:rPr>
          <w:lang w:eastAsia="en-GB"/>
        </w:rPr>
        <w:t>To calculate the differentials based on disability, disabled employees’ salaries are expressed as a percentage of non-disabled employees’ earnings.</w:t>
      </w:r>
    </w:p>
    <w:p w14:paraId="6D50382F" w14:textId="77777777" w:rsidR="008A6D57" w:rsidRPr="008A6D57" w:rsidRDefault="008A6D57" w:rsidP="008A6D57">
      <w:pPr>
        <w:pStyle w:val="3Copy-text"/>
        <w:rPr>
          <w:lang w:eastAsia="en-GB"/>
        </w:rPr>
      </w:pPr>
      <w:r w:rsidRPr="008A6D57">
        <w:rPr>
          <w:lang w:eastAsia="en-GB"/>
        </w:rPr>
        <w:t xml:space="preserve">Analysis: </w:t>
      </w:r>
      <w:r w:rsidRPr="008A6D57">
        <w:rPr>
          <w:lang w:eastAsia="en-GB"/>
        </w:rPr>
        <w:tab/>
      </w:r>
    </w:p>
    <w:p w14:paraId="046EF269" w14:textId="42882651" w:rsidR="008A6D57" w:rsidRDefault="008A6D57" w:rsidP="008A6D57">
      <w:pPr>
        <w:pStyle w:val="4Bulletlist"/>
        <w:rPr>
          <w:lang w:eastAsia="en-GB"/>
        </w:rPr>
      </w:pPr>
      <w:r w:rsidRPr="008A6D57">
        <w:rPr>
          <w:lang w:eastAsia="en-GB"/>
        </w:rPr>
        <w:t>On a comparison of the entire workforce, rather than a grade by grade basis, staff who have declared themselves as disabled earn less than staff who have reported that they are not disabled or who have not replied, which is a reversal of last year’s position. The pay gap for median total FTE salary for disabled staff vs non-disabled vs is -15.5%. However, due to the small numbers involved, caution should be exercised as the data is sensitive to even small changes in the cohort. Based on the data presented, there does not appear however, to be an equal pay risk for disabled staff.</w:t>
      </w:r>
    </w:p>
    <w:p w14:paraId="75FB5818" w14:textId="466F8F7F" w:rsidR="0076472B" w:rsidRDefault="0076472B">
      <w:pPr>
        <w:rPr>
          <w:rFonts w:eastAsia="Lucida Sans" w:cs="Times New Roman"/>
          <w:color w:val="414042"/>
          <w:kern w:val="24"/>
          <w:lang w:eastAsia="en-GB"/>
        </w:rPr>
      </w:pPr>
      <w:r>
        <w:rPr>
          <w:lang w:eastAsia="en-GB"/>
        </w:rPr>
        <w:br w:type="page"/>
      </w:r>
    </w:p>
    <w:p w14:paraId="0D139001" w14:textId="7A018B4A" w:rsidR="008A6D57" w:rsidRDefault="008A6D57" w:rsidP="008A6D57">
      <w:pPr>
        <w:pStyle w:val="2Sub-headings"/>
        <w:rPr>
          <w:lang w:eastAsia="en-GB"/>
        </w:rPr>
      </w:pPr>
      <w:r w:rsidRPr="008A6D57">
        <w:rPr>
          <w:lang w:eastAsia="en-GB"/>
        </w:rPr>
        <w:lastRenderedPageBreak/>
        <w:t>Sexual Orientation Analysis</w:t>
      </w:r>
    </w:p>
    <w:p w14:paraId="17542E3E" w14:textId="02CCE8BF" w:rsidR="00FC39C7" w:rsidRDefault="00FC39C7" w:rsidP="00FC39C7">
      <w:pPr>
        <w:pStyle w:val="Caption"/>
        <w:keepNext/>
      </w:pPr>
      <w:r>
        <w:t xml:space="preserve">Table </w:t>
      </w:r>
      <w:fldSimple w:instr=" SEQ Table \* ARABIC ">
        <w:r w:rsidR="00332158">
          <w:rPr>
            <w:noProof/>
          </w:rPr>
          <w:t>25</w:t>
        </w:r>
      </w:fldSimple>
      <w:r>
        <w:t xml:space="preserve">: </w:t>
      </w:r>
      <w:r w:rsidRPr="00AC716F">
        <w:t>Analysis by Sexual Orientation</w:t>
      </w:r>
    </w:p>
    <w:tbl>
      <w:tblPr>
        <w:tblStyle w:val="GridTable4-Accent4"/>
        <w:tblW w:w="5000" w:type="pct"/>
        <w:tblLook w:val="04A0" w:firstRow="1" w:lastRow="0" w:firstColumn="1" w:lastColumn="0" w:noHBand="0" w:noVBand="1"/>
      </w:tblPr>
      <w:tblGrid>
        <w:gridCol w:w="2337"/>
        <w:gridCol w:w="147"/>
        <w:gridCol w:w="2373"/>
        <w:gridCol w:w="1630"/>
        <w:gridCol w:w="3408"/>
        <w:gridCol w:w="2964"/>
        <w:gridCol w:w="1927"/>
      </w:tblGrid>
      <w:tr w:rsidR="008A6D57" w:rsidRPr="00910400" w14:paraId="4E758464" w14:textId="77777777" w:rsidTr="00FA4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gridSpan w:val="3"/>
            <w:tcBorders>
              <w:top w:val="single" w:sz="4" w:space="0" w:color="34A3AE"/>
              <w:left w:val="single" w:sz="4" w:space="0" w:color="34A3AE"/>
              <w:bottom w:val="single" w:sz="4" w:space="0" w:color="34A3AE"/>
              <w:right w:val="single" w:sz="4" w:space="0" w:color="34A3AE"/>
            </w:tcBorders>
            <w:shd w:val="clear" w:color="auto" w:fill="34A3AE"/>
            <w:hideMark/>
          </w:tcPr>
          <w:p w14:paraId="35E0144A" w14:textId="77777777" w:rsidR="008A6D57" w:rsidRPr="00FA4203" w:rsidRDefault="008A6D57" w:rsidP="00A03923">
            <w:pPr>
              <w:spacing w:line="288" w:lineRule="auto"/>
              <w:rPr>
                <w:rFonts w:eastAsia="Cynulliad Sans"/>
              </w:rPr>
            </w:pPr>
            <w:r w:rsidRPr="00FA4203">
              <w:rPr>
                <w:rFonts w:eastAsia="Cynulliad Sans"/>
              </w:rPr>
              <w:t>Mean Basic FTE Salary</w:t>
            </w:r>
          </w:p>
        </w:tc>
        <w:tc>
          <w:tcPr>
            <w:tcW w:w="1614" w:type="dxa"/>
            <w:vMerge w:val="restart"/>
            <w:tcBorders>
              <w:top w:val="single" w:sz="4" w:space="0" w:color="34A3AE"/>
              <w:left w:val="single" w:sz="4" w:space="0" w:color="34A3AE"/>
              <w:bottom w:val="single" w:sz="4" w:space="0" w:color="34A3AE"/>
              <w:right w:val="single" w:sz="4" w:space="0" w:color="34A3AE"/>
            </w:tcBorders>
            <w:shd w:val="clear" w:color="auto" w:fill="34A3AE"/>
            <w:hideMark/>
          </w:tcPr>
          <w:p w14:paraId="70771AA5" w14:textId="77777777" w:rsidR="008A6D57" w:rsidRPr="00FA4203" w:rsidRDefault="008A6D57"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rPr>
            </w:pPr>
            <w:r w:rsidRPr="00FA4203">
              <w:rPr>
                <w:rFonts w:eastAsia="Cynulliad Sans"/>
              </w:rPr>
              <w:t>% Difference</w:t>
            </w:r>
          </w:p>
        </w:tc>
        <w:tc>
          <w:tcPr>
            <w:tcW w:w="6310" w:type="dxa"/>
            <w:gridSpan w:val="2"/>
            <w:tcBorders>
              <w:top w:val="single" w:sz="4" w:space="0" w:color="34A3AE"/>
              <w:left w:val="single" w:sz="4" w:space="0" w:color="34A3AE"/>
              <w:bottom w:val="single" w:sz="4" w:space="0" w:color="34A3AE"/>
              <w:right w:val="single" w:sz="4" w:space="0" w:color="34A3AE"/>
            </w:tcBorders>
            <w:shd w:val="clear" w:color="auto" w:fill="34A3AE"/>
            <w:hideMark/>
          </w:tcPr>
          <w:p w14:paraId="24461BE3" w14:textId="77777777" w:rsidR="008A6D57" w:rsidRPr="00FA4203" w:rsidRDefault="008A6D57"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rPr>
            </w:pPr>
            <w:r w:rsidRPr="00FA4203">
              <w:rPr>
                <w:rFonts w:eastAsia="Cynulliad Sans"/>
              </w:rPr>
              <w:t>Mean Total FTE Salary</w:t>
            </w:r>
          </w:p>
        </w:tc>
        <w:tc>
          <w:tcPr>
            <w:tcW w:w="1908" w:type="dxa"/>
            <w:vMerge w:val="restart"/>
            <w:tcBorders>
              <w:top w:val="single" w:sz="4" w:space="0" w:color="34A3AE"/>
              <w:left w:val="single" w:sz="4" w:space="0" w:color="34A3AE"/>
              <w:bottom w:val="single" w:sz="4" w:space="0" w:color="34A3AE"/>
              <w:right w:val="single" w:sz="4" w:space="0" w:color="34A3AE"/>
            </w:tcBorders>
            <w:shd w:val="clear" w:color="auto" w:fill="34A3AE"/>
            <w:hideMark/>
          </w:tcPr>
          <w:p w14:paraId="30A89554" w14:textId="77777777" w:rsidR="008A6D57" w:rsidRPr="00FA4203" w:rsidRDefault="008A6D57"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rPr>
            </w:pPr>
            <w:r w:rsidRPr="00FA4203">
              <w:rPr>
                <w:rFonts w:eastAsia="Cynulliad Sans"/>
              </w:rPr>
              <w:t>% Difference</w:t>
            </w:r>
          </w:p>
        </w:tc>
      </w:tr>
      <w:tr w:rsidR="008A6D57" w:rsidRPr="00910400" w14:paraId="1BA4A361" w14:textId="77777777" w:rsidTr="00FA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Borders>
              <w:top w:val="single" w:sz="4" w:space="0" w:color="34A3AE"/>
              <w:left w:val="single" w:sz="4" w:space="0" w:color="34A3AE"/>
              <w:bottom w:val="single" w:sz="4" w:space="0" w:color="34A3AE"/>
              <w:right w:val="single" w:sz="4" w:space="0" w:color="34A3AE"/>
            </w:tcBorders>
            <w:shd w:val="clear" w:color="auto" w:fill="34A3AE"/>
            <w:hideMark/>
          </w:tcPr>
          <w:p w14:paraId="0D64D81B" w14:textId="77777777" w:rsidR="008A6D57" w:rsidRPr="00FA4203" w:rsidRDefault="008A6D57" w:rsidP="00A03923">
            <w:pPr>
              <w:spacing w:line="288" w:lineRule="auto"/>
              <w:ind w:right="-87"/>
              <w:rPr>
                <w:rFonts w:eastAsia="Cynulliad Sans"/>
                <w:color w:val="FFFFFF" w:themeColor="background1"/>
              </w:rPr>
            </w:pPr>
            <w:r w:rsidRPr="00FA4203">
              <w:rPr>
                <w:rFonts w:eastAsia="Cynulliad Sans"/>
                <w:color w:val="FFFFFF" w:themeColor="background1"/>
              </w:rPr>
              <w:t>Lesbian, Gay and Bisexual Staff</w:t>
            </w:r>
          </w:p>
        </w:tc>
        <w:tc>
          <w:tcPr>
            <w:tcW w:w="2496" w:type="dxa"/>
            <w:gridSpan w:val="2"/>
            <w:tcBorders>
              <w:top w:val="single" w:sz="4" w:space="0" w:color="34A3AE"/>
              <w:left w:val="single" w:sz="4" w:space="0" w:color="34A3AE"/>
              <w:bottom w:val="single" w:sz="4" w:space="0" w:color="34A3AE"/>
              <w:right w:val="single" w:sz="4" w:space="0" w:color="34A3AE"/>
            </w:tcBorders>
            <w:shd w:val="clear" w:color="auto" w:fill="34A3AE"/>
            <w:hideMark/>
          </w:tcPr>
          <w:p w14:paraId="70C34D3C"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Non-LGB Staff</w:t>
            </w:r>
          </w:p>
        </w:tc>
        <w:tc>
          <w:tcPr>
            <w:tcW w:w="1614" w:type="dxa"/>
            <w:vMerge/>
            <w:tcBorders>
              <w:top w:val="single" w:sz="4" w:space="0" w:color="34A3AE"/>
              <w:left w:val="single" w:sz="4" w:space="0" w:color="34A3AE"/>
              <w:bottom w:val="single" w:sz="4" w:space="0" w:color="34A3AE"/>
              <w:right w:val="single" w:sz="4" w:space="0" w:color="34A3AE"/>
            </w:tcBorders>
            <w:shd w:val="clear" w:color="auto" w:fill="34A3AE"/>
            <w:hideMark/>
          </w:tcPr>
          <w:p w14:paraId="0F76F74D"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p>
        </w:tc>
        <w:tc>
          <w:tcPr>
            <w:tcW w:w="3375" w:type="dxa"/>
            <w:tcBorders>
              <w:top w:val="single" w:sz="4" w:space="0" w:color="34A3AE"/>
              <w:left w:val="single" w:sz="4" w:space="0" w:color="34A3AE"/>
              <w:bottom w:val="single" w:sz="4" w:space="0" w:color="34A3AE"/>
              <w:right w:val="single" w:sz="4" w:space="0" w:color="34A3AE"/>
            </w:tcBorders>
            <w:shd w:val="clear" w:color="auto" w:fill="34A3AE"/>
            <w:hideMark/>
          </w:tcPr>
          <w:p w14:paraId="61FA0C3A"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Lesbian, Gay and Bisexual Staff</w:t>
            </w:r>
          </w:p>
        </w:tc>
        <w:tc>
          <w:tcPr>
            <w:tcW w:w="2935" w:type="dxa"/>
            <w:tcBorders>
              <w:top w:val="single" w:sz="4" w:space="0" w:color="34A3AE"/>
              <w:left w:val="single" w:sz="4" w:space="0" w:color="34A3AE"/>
              <w:bottom w:val="single" w:sz="4" w:space="0" w:color="34A3AE"/>
              <w:right w:val="single" w:sz="4" w:space="0" w:color="34A3AE"/>
            </w:tcBorders>
            <w:shd w:val="clear" w:color="auto" w:fill="34A3AE"/>
            <w:hideMark/>
          </w:tcPr>
          <w:p w14:paraId="50B4034E"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Non-LGB Staff</w:t>
            </w:r>
          </w:p>
        </w:tc>
        <w:tc>
          <w:tcPr>
            <w:tcW w:w="1908" w:type="dxa"/>
            <w:vMerge/>
            <w:tcBorders>
              <w:top w:val="single" w:sz="4" w:space="0" w:color="34A3AE"/>
              <w:left w:val="single" w:sz="4" w:space="0" w:color="34A3AE"/>
              <w:bottom w:val="single" w:sz="4" w:space="0" w:color="34A3AE"/>
              <w:right w:val="single" w:sz="4" w:space="0" w:color="34A3AE"/>
            </w:tcBorders>
            <w:shd w:val="clear" w:color="auto" w:fill="34A3AE"/>
            <w:hideMark/>
          </w:tcPr>
          <w:p w14:paraId="24EFB94E" w14:textId="77777777" w:rsidR="008A6D57" w:rsidRPr="00FA4203" w:rsidRDefault="008A6D57"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p>
        </w:tc>
      </w:tr>
      <w:tr w:rsidR="008A6D57" w:rsidRPr="00910400" w14:paraId="793B249F" w14:textId="77777777" w:rsidTr="00FA4203">
        <w:tc>
          <w:tcPr>
            <w:cnfStyle w:val="001000000000" w:firstRow="0" w:lastRow="0" w:firstColumn="1" w:lastColumn="0" w:oddVBand="0" w:evenVBand="0" w:oddHBand="0" w:evenHBand="0" w:firstRowFirstColumn="0" w:firstRowLastColumn="0" w:lastRowFirstColumn="0" w:lastRowLastColumn="0"/>
            <w:tcW w:w="2315" w:type="dxa"/>
            <w:tcBorders>
              <w:top w:val="single" w:sz="4" w:space="0" w:color="34A3AE"/>
              <w:bottom w:val="single" w:sz="4" w:space="0" w:color="34A3AE"/>
            </w:tcBorders>
            <w:hideMark/>
          </w:tcPr>
          <w:p w14:paraId="161C8301" w14:textId="77777777" w:rsidR="008A6D57" w:rsidRPr="00910400" w:rsidRDefault="008A6D57" w:rsidP="00A03923">
            <w:pPr>
              <w:spacing w:line="288" w:lineRule="auto"/>
              <w:rPr>
                <w:rFonts w:eastAsia="Cynulliad Sans"/>
                <w:b w:val="0"/>
              </w:rPr>
            </w:pPr>
            <w:r w:rsidRPr="00910400">
              <w:rPr>
                <w:rFonts w:eastAsia="Cynulliad Sans"/>
              </w:rPr>
              <w:t>£38,969</w:t>
            </w:r>
          </w:p>
        </w:tc>
        <w:tc>
          <w:tcPr>
            <w:tcW w:w="2496" w:type="dxa"/>
            <w:gridSpan w:val="2"/>
            <w:tcBorders>
              <w:top w:val="single" w:sz="4" w:space="0" w:color="34A3AE"/>
              <w:bottom w:val="single" w:sz="4" w:space="0" w:color="34A3AE"/>
            </w:tcBorders>
            <w:hideMark/>
          </w:tcPr>
          <w:p w14:paraId="5EDA6AC5" w14:textId="77777777" w:rsidR="008A6D57" w:rsidRPr="00910400"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910400">
              <w:rPr>
                <w:rFonts w:eastAsia="Cynulliad Sans"/>
              </w:rPr>
              <w:t>£34,033</w:t>
            </w:r>
          </w:p>
        </w:tc>
        <w:tc>
          <w:tcPr>
            <w:tcW w:w="1614" w:type="dxa"/>
            <w:tcBorders>
              <w:top w:val="single" w:sz="4" w:space="0" w:color="34A3AE"/>
              <w:bottom w:val="single" w:sz="4" w:space="0" w:color="34A3AE"/>
            </w:tcBorders>
            <w:hideMark/>
          </w:tcPr>
          <w:p w14:paraId="7C3EE440" w14:textId="77777777" w:rsidR="008A6D57" w:rsidRPr="00910400"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910400">
              <w:rPr>
                <w:rFonts w:eastAsia="Cynulliad Sans"/>
              </w:rPr>
              <w:t>14.5%</w:t>
            </w:r>
          </w:p>
        </w:tc>
        <w:tc>
          <w:tcPr>
            <w:tcW w:w="3375" w:type="dxa"/>
            <w:tcBorders>
              <w:top w:val="single" w:sz="4" w:space="0" w:color="34A3AE"/>
              <w:bottom w:val="single" w:sz="4" w:space="0" w:color="34A3AE"/>
            </w:tcBorders>
            <w:hideMark/>
          </w:tcPr>
          <w:p w14:paraId="13C75F8B" w14:textId="77777777" w:rsidR="008A6D57" w:rsidRPr="00910400"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910400">
              <w:rPr>
                <w:rFonts w:eastAsia="Cynulliad Sans"/>
              </w:rPr>
              <w:t>£39,956</w:t>
            </w:r>
          </w:p>
        </w:tc>
        <w:tc>
          <w:tcPr>
            <w:tcW w:w="2935" w:type="dxa"/>
            <w:tcBorders>
              <w:top w:val="single" w:sz="4" w:space="0" w:color="34A3AE"/>
              <w:bottom w:val="single" w:sz="4" w:space="0" w:color="34A3AE"/>
            </w:tcBorders>
            <w:hideMark/>
          </w:tcPr>
          <w:p w14:paraId="62A90760" w14:textId="77777777" w:rsidR="008A6D57" w:rsidRPr="00910400"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rPr>
            </w:pPr>
            <w:r w:rsidRPr="00910400">
              <w:rPr>
                <w:rFonts w:eastAsia="Cynulliad Sans"/>
              </w:rPr>
              <w:t>£34,507</w:t>
            </w:r>
          </w:p>
        </w:tc>
        <w:tc>
          <w:tcPr>
            <w:tcW w:w="1908" w:type="dxa"/>
            <w:tcBorders>
              <w:top w:val="single" w:sz="4" w:space="0" w:color="34A3AE"/>
              <w:bottom w:val="single" w:sz="4" w:space="0" w:color="34A3AE"/>
            </w:tcBorders>
            <w:hideMark/>
          </w:tcPr>
          <w:p w14:paraId="098CCA57" w14:textId="77777777" w:rsidR="008A6D57" w:rsidRPr="00910400" w:rsidRDefault="008A6D57"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rPr>
            </w:pPr>
            <w:r w:rsidRPr="00910400">
              <w:rPr>
                <w:rFonts w:eastAsia="Cynulliad Sans"/>
              </w:rPr>
              <w:t>15.8%</w:t>
            </w:r>
          </w:p>
        </w:tc>
      </w:tr>
      <w:tr w:rsidR="00910400" w:rsidRPr="00910400" w14:paraId="7CDBC23C" w14:textId="77777777" w:rsidTr="00FA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gridSpan w:val="3"/>
            <w:tcBorders>
              <w:top w:val="single" w:sz="4" w:space="0" w:color="34A3AE"/>
              <w:left w:val="single" w:sz="4" w:space="0" w:color="34A3AE"/>
              <w:bottom w:val="single" w:sz="4" w:space="0" w:color="34A3AE"/>
              <w:right w:val="single" w:sz="4" w:space="0" w:color="34A3AE"/>
            </w:tcBorders>
            <w:shd w:val="clear" w:color="auto" w:fill="34A3AE"/>
            <w:hideMark/>
          </w:tcPr>
          <w:p w14:paraId="55C5D7B5" w14:textId="77777777" w:rsidR="00910400" w:rsidRPr="00FA4203" w:rsidRDefault="00910400" w:rsidP="00A03923">
            <w:pPr>
              <w:spacing w:line="288" w:lineRule="auto"/>
              <w:rPr>
                <w:rFonts w:eastAsia="Cynulliad Sans"/>
                <w:color w:val="FFFFFF" w:themeColor="background1"/>
              </w:rPr>
            </w:pPr>
            <w:r w:rsidRPr="00FA4203">
              <w:rPr>
                <w:rFonts w:eastAsia="Cynulliad Sans"/>
                <w:color w:val="FFFFFF" w:themeColor="background1"/>
              </w:rPr>
              <w:t>Median Basic FTE Salary</w:t>
            </w:r>
          </w:p>
        </w:tc>
        <w:tc>
          <w:tcPr>
            <w:tcW w:w="1614" w:type="dxa"/>
            <w:vMerge w:val="restart"/>
            <w:tcBorders>
              <w:top w:val="single" w:sz="4" w:space="0" w:color="34A3AE"/>
              <w:left w:val="single" w:sz="4" w:space="0" w:color="34A3AE"/>
              <w:bottom w:val="single" w:sz="4" w:space="0" w:color="34A3AE"/>
              <w:right w:val="single" w:sz="4" w:space="0" w:color="34A3AE"/>
            </w:tcBorders>
            <w:shd w:val="clear" w:color="auto" w:fill="34A3AE"/>
            <w:hideMark/>
          </w:tcPr>
          <w:p w14:paraId="21F12C1F" w14:textId="77777777" w:rsidR="00910400" w:rsidRPr="00FA4203"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 Difference</w:t>
            </w:r>
          </w:p>
        </w:tc>
        <w:tc>
          <w:tcPr>
            <w:tcW w:w="6310" w:type="dxa"/>
            <w:gridSpan w:val="2"/>
            <w:tcBorders>
              <w:top w:val="single" w:sz="4" w:space="0" w:color="34A3AE"/>
              <w:left w:val="single" w:sz="4" w:space="0" w:color="34A3AE"/>
              <w:bottom w:val="single" w:sz="4" w:space="0" w:color="34A3AE"/>
              <w:right w:val="single" w:sz="4" w:space="0" w:color="34A3AE"/>
            </w:tcBorders>
            <w:shd w:val="clear" w:color="auto" w:fill="34A3AE"/>
            <w:hideMark/>
          </w:tcPr>
          <w:p w14:paraId="3C367448" w14:textId="77777777" w:rsidR="00910400" w:rsidRPr="00FA4203"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Median Total FTE Salary</w:t>
            </w:r>
          </w:p>
        </w:tc>
        <w:tc>
          <w:tcPr>
            <w:tcW w:w="1908" w:type="dxa"/>
            <w:vMerge w:val="restart"/>
            <w:tcBorders>
              <w:top w:val="single" w:sz="4" w:space="0" w:color="34A3AE"/>
              <w:left w:val="single" w:sz="4" w:space="0" w:color="34A3AE"/>
              <w:bottom w:val="single" w:sz="4" w:space="0" w:color="34A3AE"/>
              <w:right w:val="single" w:sz="4" w:space="0" w:color="34A3AE"/>
            </w:tcBorders>
            <w:shd w:val="clear" w:color="auto" w:fill="34A3AE"/>
            <w:hideMark/>
          </w:tcPr>
          <w:p w14:paraId="1017D1E4" w14:textId="77777777" w:rsidR="00910400" w:rsidRPr="00FA4203"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 Difference</w:t>
            </w:r>
          </w:p>
        </w:tc>
      </w:tr>
      <w:tr w:rsidR="00910400" w:rsidRPr="00910400" w14:paraId="5EB27403" w14:textId="77777777" w:rsidTr="00FA4203">
        <w:tc>
          <w:tcPr>
            <w:cnfStyle w:val="001000000000" w:firstRow="0" w:lastRow="0" w:firstColumn="1" w:lastColumn="0" w:oddVBand="0" w:evenVBand="0" w:oddHBand="0" w:evenHBand="0" w:firstRowFirstColumn="0" w:firstRowLastColumn="0" w:lastRowFirstColumn="0" w:lastRowLastColumn="0"/>
            <w:tcW w:w="2461" w:type="dxa"/>
            <w:gridSpan w:val="2"/>
            <w:tcBorders>
              <w:top w:val="single" w:sz="4" w:space="0" w:color="34A3AE"/>
              <w:left w:val="single" w:sz="4" w:space="0" w:color="34A3AE"/>
              <w:bottom w:val="single" w:sz="4" w:space="0" w:color="34A3AE"/>
              <w:right w:val="single" w:sz="4" w:space="0" w:color="34A3AE"/>
            </w:tcBorders>
            <w:shd w:val="clear" w:color="auto" w:fill="34A3AE"/>
            <w:hideMark/>
          </w:tcPr>
          <w:p w14:paraId="15B770A9" w14:textId="77777777" w:rsidR="00910400" w:rsidRPr="00FA4203" w:rsidRDefault="00910400" w:rsidP="00A03923">
            <w:pPr>
              <w:spacing w:line="288" w:lineRule="auto"/>
              <w:rPr>
                <w:rFonts w:eastAsia="Cynulliad Sans"/>
                <w:color w:val="FFFFFF" w:themeColor="background1"/>
              </w:rPr>
            </w:pPr>
            <w:r w:rsidRPr="00FA4203">
              <w:rPr>
                <w:rFonts w:eastAsia="Cynulliad Sans"/>
                <w:color w:val="FFFFFF" w:themeColor="background1"/>
              </w:rPr>
              <w:t>Lesbian, Gay and Bisexual Staff</w:t>
            </w:r>
          </w:p>
        </w:tc>
        <w:tc>
          <w:tcPr>
            <w:tcW w:w="2350" w:type="dxa"/>
            <w:tcBorders>
              <w:top w:val="single" w:sz="4" w:space="0" w:color="34A3AE"/>
              <w:left w:val="single" w:sz="4" w:space="0" w:color="34A3AE"/>
              <w:bottom w:val="single" w:sz="4" w:space="0" w:color="34A3AE"/>
              <w:right w:val="single" w:sz="4" w:space="0" w:color="34A3AE"/>
            </w:tcBorders>
            <w:shd w:val="clear" w:color="auto" w:fill="34A3AE"/>
            <w:hideMark/>
          </w:tcPr>
          <w:p w14:paraId="3969B66C" w14:textId="77777777" w:rsidR="00910400" w:rsidRPr="00FA4203"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Non-LGB Staff</w:t>
            </w:r>
          </w:p>
        </w:tc>
        <w:tc>
          <w:tcPr>
            <w:tcW w:w="1614" w:type="dxa"/>
            <w:vMerge/>
            <w:tcBorders>
              <w:top w:val="single" w:sz="4" w:space="0" w:color="34A3AE"/>
              <w:left w:val="single" w:sz="4" w:space="0" w:color="34A3AE"/>
              <w:bottom w:val="single" w:sz="4" w:space="0" w:color="34A3AE"/>
              <w:right w:val="single" w:sz="4" w:space="0" w:color="34A3AE"/>
            </w:tcBorders>
            <w:shd w:val="clear" w:color="auto" w:fill="34A3AE"/>
            <w:hideMark/>
          </w:tcPr>
          <w:p w14:paraId="27881B76" w14:textId="77777777" w:rsidR="00910400" w:rsidRPr="00FA4203"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color w:val="FFFFFF" w:themeColor="background1"/>
              </w:rPr>
            </w:pPr>
          </w:p>
        </w:tc>
        <w:tc>
          <w:tcPr>
            <w:tcW w:w="3375" w:type="dxa"/>
            <w:tcBorders>
              <w:top w:val="single" w:sz="4" w:space="0" w:color="34A3AE"/>
              <w:left w:val="single" w:sz="4" w:space="0" w:color="34A3AE"/>
              <w:bottom w:val="single" w:sz="4" w:space="0" w:color="34A3AE"/>
              <w:right w:val="single" w:sz="4" w:space="0" w:color="34A3AE"/>
            </w:tcBorders>
            <w:shd w:val="clear" w:color="auto" w:fill="34A3AE"/>
            <w:hideMark/>
          </w:tcPr>
          <w:p w14:paraId="2B92499F" w14:textId="77777777" w:rsidR="00910400" w:rsidRPr="00FA4203"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Lesbian, Gay and Bisexual Staff</w:t>
            </w:r>
          </w:p>
        </w:tc>
        <w:tc>
          <w:tcPr>
            <w:tcW w:w="2935" w:type="dxa"/>
            <w:tcBorders>
              <w:top w:val="single" w:sz="4" w:space="0" w:color="34A3AE"/>
              <w:left w:val="single" w:sz="4" w:space="0" w:color="34A3AE"/>
              <w:bottom w:val="single" w:sz="4" w:space="0" w:color="34A3AE"/>
              <w:right w:val="single" w:sz="4" w:space="0" w:color="34A3AE"/>
            </w:tcBorders>
            <w:shd w:val="clear" w:color="auto" w:fill="34A3AE"/>
            <w:hideMark/>
          </w:tcPr>
          <w:p w14:paraId="261F24BE" w14:textId="77777777" w:rsidR="00910400" w:rsidRPr="00FA4203"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color w:val="FFFFFF" w:themeColor="background1"/>
              </w:rPr>
            </w:pPr>
            <w:r w:rsidRPr="00FA4203">
              <w:rPr>
                <w:rFonts w:eastAsia="Cynulliad Sans"/>
                <w:b/>
                <w:color w:val="FFFFFF" w:themeColor="background1"/>
              </w:rPr>
              <w:t>Non-LGB Staff</w:t>
            </w:r>
          </w:p>
        </w:tc>
        <w:tc>
          <w:tcPr>
            <w:tcW w:w="1908" w:type="dxa"/>
            <w:vMerge/>
            <w:tcBorders>
              <w:top w:val="single" w:sz="4" w:space="0" w:color="34A3AE"/>
              <w:left w:val="single" w:sz="4" w:space="0" w:color="34A3AE"/>
              <w:bottom w:val="single" w:sz="4" w:space="0" w:color="34A3AE"/>
              <w:right w:val="single" w:sz="4" w:space="0" w:color="34A3AE"/>
            </w:tcBorders>
            <w:shd w:val="clear" w:color="auto" w:fill="34A3AE"/>
            <w:hideMark/>
          </w:tcPr>
          <w:p w14:paraId="13D1478C" w14:textId="77777777" w:rsidR="00910400" w:rsidRPr="00FA4203"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b/>
                <w:color w:val="FFFFFF" w:themeColor="background1"/>
              </w:rPr>
            </w:pPr>
          </w:p>
        </w:tc>
      </w:tr>
      <w:tr w:rsidR="00910400" w:rsidRPr="00910400" w14:paraId="5EEE64A8" w14:textId="77777777" w:rsidTr="00FA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gridSpan w:val="2"/>
            <w:tcBorders>
              <w:top w:val="single" w:sz="4" w:space="0" w:color="34A3AE"/>
            </w:tcBorders>
            <w:hideMark/>
          </w:tcPr>
          <w:p w14:paraId="7F199318" w14:textId="77777777" w:rsidR="00910400" w:rsidRPr="00910400" w:rsidRDefault="00910400" w:rsidP="00A03923">
            <w:pPr>
              <w:spacing w:line="288" w:lineRule="auto"/>
              <w:rPr>
                <w:rFonts w:eastAsia="Cynulliad Sans"/>
                <w:b w:val="0"/>
              </w:rPr>
            </w:pPr>
            <w:r w:rsidRPr="00910400">
              <w:rPr>
                <w:rFonts w:eastAsia="Cynulliad Sans"/>
              </w:rPr>
              <w:t>£35,811</w:t>
            </w:r>
          </w:p>
        </w:tc>
        <w:tc>
          <w:tcPr>
            <w:tcW w:w="2350" w:type="dxa"/>
            <w:tcBorders>
              <w:top w:val="single" w:sz="4" w:space="0" w:color="34A3AE"/>
            </w:tcBorders>
            <w:hideMark/>
          </w:tcPr>
          <w:p w14:paraId="132CF12A"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910400">
              <w:rPr>
                <w:rFonts w:eastAsia="Cynulliad Sans"/>
              </w:rPr>
              <w:t>£29,770</w:t>
            </w:r>
          </w:p>
        </w:tc>
        <w:tc>
          <w:tcPr>
            <w:tcW w:w="1614" w:type="dxa"/>
            <w:tcBorders>
              <w:top w:val="single" w:sz="4" w:space="0" w:color="34A3AE"/>
            </w:tcBorders>
            <w:hideMark/>
          </w:tcPr>
          <w:p w14:paraId="3E2C8C09"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910400">
              <w:rPr>
                <w:rFonts w:eastAsia="Cynulliad Sans"/>
              </w:rPr>
              <w:t>20.3%</w:t>
            </w:r>
          </w:p>
        </w:tc>
        <w:tc>
          <w:tcPr>
            <w:tcW w:w="3375" w:type="dxa"/>
            <w:tcBorders>
              <w:top w:val="single" w:sz="4" w:space="0" w:color="34A3AE"/>
            </w:tcBorders>
            <w:hideMark/>
          </w:tcPr>
          <w:p w14:paraId="4E04FC73"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910400">
              <w:rPr>
                <w:rFonts w:eastAsia="Cynulliad Sans"/>
              </w:rPr>
              <w:t>£35,811</w:t>
            </w:r>
          </w:p>
        </w:tc>
        <w:tc>
          <w:tcPr>
            <w:tcW w:w="2935" w:type="dxa"/>
            <w:tcBorders>
              <w:top w:val="single" w:sz="4" w:space="0" w:color="34A3AE"/>
            </w:tcBorders>
            <w:hideMark/>
          </w:tcPr>
          <w:p w14:paraId="3055B70C"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b/>
              </w:rPr>
            </w:pPr>
            <w:r w:rsidRPr="00910400">
              <w:rPr>
                <w:rFonts w:eastAsia="Cynulliad Sans"/>
              </w:rPr>
              <w:t>£31,341</w:t>
            </w:r>
          </w:p>
        </w:tc>
        <w:tc>
          <w:tcPr>
            <w:tcW w:w="1908" w:type="dxa"/>
            <w:tcBorders>
              <w:top w:val="single" w:sz="4" w:space="0" w:color="34A3AE"/>
            </w:tcBorders>
            <w:hideMark/>
          </w:tcPr>
          <w:p w14:paraId="635C1715" w14:textId="77777777" w:rsidR="00910400" w:rsidRPr="00910400" w:rsidRDefault="00910400" w:rsidP="00A03923">
            <w:pPr>
              <w:tabs>
                <w:tab w:val="left" w:pos="1246"/>
              </w:tabs>
              <w:spacing w:line="288" w:lineRule="auto"/>
              <w:cnfStyle w:val="000000100000" w:firstRow="0" w:lastRow="0" w:firstColumn="0" w:lastColumn="0" w:oddVBand="0" w:evenVBand="0" w:oddHBand="1" w:evenHBand="0" w:firstRowFirstColumn="0" w:firstRowLastColumn="0" w:lastRowFirstColumn="0" w:lastRowLastColumn="0"/>
              <w:rPr>
                <w:rFonts w:eastAsia="Cynulliad Sans"/>
              </w:rPr>
            </w:pPr>
            <w:r w:rsidRPr="00910400">
              <w:rPr>
                <w:rFonts w:eastAsia="Cynulliad Sans"/>
              </w:rPr>
              <w:t>14.3%</w:t>
            </w:r>
            <w:r w:rsidRPr="00910400">
              <w:rPr>
                <w:rFonts w:eastAsia="Cynulliad Sans"/>
              </w:rPr>
              <w:tab/>
            </w:r>
          </w:p>
        </w:tc>
      </w:tr>
    </w:tbl>
    <w:p w14:paraId="10868F00" w14:textId="77777777" w:rsidR="00910400" w:rsidRDefault="00910400" w:rsidP="00910400">
      <w:pPr>
        <w:pStyle w:val="3Copy-text"/>
        <w:rPr>
          <w:lang w:eastAsia="en-GB"/>
        </w:rPr>
      </w:pPr>
      <w:r>
        <w:rPr>
          <w:lang w:eastAsia="en-GB"/>
        </w:rPr>
        <w:t>Source:  Assembly Commission HR Payroll IT Reporting System</w:t>
      </w:r>
    </w:p>
    <w:p w14:paraId="1528BB4F" w14:textId="77777777" w:rsidR="00910400" w:rsidRDefault="00910400" w:rsidP="00910400">
      <w:pPr>
        <w:pStyle w:val="3Copy-text"/>
        <w:rPr>
          <w:lang w:eastAsia="en-GB"/>
        </w:rPr>
      </w:pPr>
      <w:r>
        <w:rPr>
          <w:lang w:eastAsia="en-GB"/>
        </w:rPr>
        <w:t>[16 staff identified as LGB; 361 staff identified as Non-LGB; 85 staff chose not to reply]</w:t>
      </w:r>
    </w:p>
    <w:p w14:paraId="56A6840A" w14:textId="77777777" w:rsidR="00910400" w:rsidRDefault="00910400" w:rsidP="00910400">
      <w:pPr>
        <w:pStyle w:val="3Copy-text"/>
        <w:rPr>
          <w:lang w:eastAsia="en-GB"/>
        </w:rPr>
      </w:pPr>
      <w:r>
        <w:rPr>
          <w:lang w:eastAsia="en-GB"/>
        </w:rPr>
        <w:t>To calculate the differential based on sexual orientation, LGB employees’ salaries are expressed as a percentage of non-LGB employees’ salaries.</w:t>
      </w:r>
    </w:p>
    <w:p w14:paraId="4D245244" w14:textId="77777777" w:rsidR="00910400" w:rsidRDefault="00910400" w:rsidP="00910400">
      <w:pPr>
        <w:pStyle w:val="3Copy-text"/>
        <w:rPr>
          <w:lang w:eastAsia="en-GB"/>
        </w:rPr>
      </w:pPr>
      <w:r>
        <w:rPr>
          <w:lang w:eastAsia="en-GB"/>
        </w:rPr>
        <w:t>Analysis:</w:t>
      </w:r>
    </w:p>
    <w:p w14:paraId="4850C328" w14:textId="1E780AE1" w:rsidR="0076472B" w:rsidRPr="0076472B" w:rsidRDefault="00910400" w:rsidP="00E94285">
      <w:pPr>
        <w:pStyle w:val="4Bulletlist"/>
        <w:rPr>
          <w:lang w:eastAsia="en-GB"/>
        </w:rPr>
      </w:pPr>
      <w:r>
        <w:rPr>
          <w:lang w:eastAsia="en-GB"/>
        </w:rPr>
        <w:t>On a comparison of the entire workforce, rather than a grade by grade basis, staff who have declared themselves as LGB earn more than those who identify as non-LGB and slightly less than those who have not replied (a reversal to the position that applied last year. The pay difference for median total FTE salary for LGB staff vs non-LGB staff is 14.3%. However, due to the small numbers involved, caution should be exercised as the data is sensitive to even small changes in the cohort.  Based on the data presented, there does not appear to be an equal pay risk for LGB staff.</w:t>
      </w:r>
      <w:r w:rsidR="0076472B">
        <w:rPr>
          <w:lang w:eastAsia="en-GB"/>
        </w:rPr>
        <w:br w:type="page"/>
      </w:r>
    </w:p>
    <w:p w14:paraId="2EE9A802" w14:textId="2E06D6EC" w:rsidR="008A6D57" w:rsidRDefault="00910400" w:rsidP="00910400">
      <w:pPr>
        <w:pStyle w:val="2Sub-headings"/>
        <w:rPr>
          <w:lang w:eastAsia="en-GB"/>
        </w:rPr>
      </w:pPr>
      <w:r w:rsidRPr="00910400">
        <w:rPr>
          <w:lang w:eastAsia="en-GB"/>
        </w:rPr>
        <w:lastRenderedPageBreak/>
        <w:t>Race Analysis</w:t>
      </w:r>
    </w:p>
    <w:p w14:paraId="36C1984C" w14:textId="7C3EBB21" w:rsidR="00FC39C7" w:rsidRDefault="00FC39C7" w:rsidP="00FC39C7">
      <w:pPr>
        <w:pStyle w:val="Caption"/>
        <w:keepNext/>
      </w:pPr>
      <w:r>
        <w:t xml:space="preserve">Table </w:t>
      </w:r>
      <w:fldSimple w:instr=" SEQ Table \* ARABIC ">
        <w:r w:rsidR="00332158">
          <w:rPr>
            <w:noProof/>
          </w:rPr>
          <w:t>26</w:t>
        </w:r>
      </w:fldSimple>
      <w:r>
        <w:t xml:space="preserve">: </w:t>
      </w:r>
      <w:r w:rsidRPr="00806D46">
        <w:t>Staff Pay by Race/Ethnicity</w:t>
      </w:r>
    </w:p>
    <w:tbl>
      <w:tblPr>
        <w:tblStyle w:val="GridTable4-Accent4"/>
        <w:tblW w:w="5000" w:type="pct"/>
        <w:tblLook w:val="04A0" w:firstRow="1" w:lastRow="0" w:firstColumn="1" w:lastColumn="0" w:noHBand="0" w:noVBand="1"/>
      </w:tblPr>
      <w:tblGrid>
        <w:gridCol w:w="5447"/>
        <w:gridCol w:w="1937"/>
        <w:gridCol w:w="1937"/>
        <w:gridCol w:w="1937"/>
        <w:gridCol w:w="1937"/>
        <w:gridCol w:w="1591"/>
      </w:tblGrid>
      <w:tr w:rsidR="00910400" w:rsidRPr="00910400" w14:paraId="420C0D4C" w14:textId="77777777" w:rsidTr="00FC3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590E6968" w14:textId="77777777" w:rsidR="00910400" w:rsidRPr="00910400" w:rsidRDefault="00910400" w:rsidP="00A03923">
            <w:pPr>
              <w:spacing w:line="288" w:lineRule="auto"/>
              <w:rPr>
                <w:rFonts w:eastAsia="Cynulliad Sans" w:cs="Times New Roman"/>
                <w:sz w:val="22"/>
                <w:szCs w:val="22"/>
              </w:rPr>
            </w:pPr>
          </w:p>
        </w:tc>
        <w:tc>
          <w:tcPr>
            <w:tcW w:w="655" w:type="pct"/>
            <w:hideMark/>
          </w:tcPr>
          <w:p w14:paraId="18EE948C" w14:textId="77777777" w:rsidR="00910400" w:rsidRPr="00910400" w:rsidRDefault="00910400"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910400">
              <w:rPr>
                <w:rFonts w:eastAsia="Cynulliad Sans" w:cs="Times New Roman"/>
                <w:b w:val="0"/>
                <w:sz w:val="22"/>
                <w:szCs w:val="22"/>
              </w:rPr>
              <w:t>Mean Basic FTE Salary</w:t>
            </w:r>
          </w:p>
        </w:tc>
        <w:tc>
          <w:tcPr>
            <w:tcW w:w="655" w:type="pct"/>
            <w:hideMark/>
          </w:tcPr>
          <w:p w14:paraId="13C58991" w14:textId="77777777" w:rsidR="00910400" w:rsidRPr="00910400" w:rsidRDefault="00910400"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910400">
              <w:rPr>
                <w:rFonts w:eastAsia="Cynulliad Sans" w:cs="Times New Roman"/>
                <w:b w:val="0"/>
                <w:sz w:val="22"/>
                <w:szCs w:val="22"/>
              </w:rPr>
              <w:t>Mean Total FTE Salary</w:t>
            </w:r>
          </w:p>
        </w:tc>
        <w:tc>
          <w:tcPr>
            <w:tcW w:w="655" w:type="pct"/>
            <w:hideMark/>
          </w:tcPr>
          <w:p w14:paraId="1C3B36D3" w14:textId="77777777" w:rsidR="00910400" w:rsidRPr="00910400" w:rsidRDefault="00910400"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910400">
              <w:rPr>
                <w:rFonts w:eastAsia="Cynulliad Sans" w:cs="Times New Roman"/>
                <w:b w:val="0"/>
                <w:sz w:val="22"/>
                <w:szCs w:val="22"/>
              </w:rPr>
              <w:t>Median Basic FTE Salary</w:t>
            </w:r>
          </w:p>
        </w:tc>
        <w:tc>
          <w:tcPr>
            <w:tcW w:w="655" w:type="pct"/>
            <w:hideMark/>
          </w:tcPr>
          <w:p w14:paraId="26B30A81" w14:textId="77777777" w:rsidR="00910400" w:rsidRPr="00910400" w:rsidRDefault="00910400"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910400">
              <w:rPr>
                <w:rFonts w:eastAsia="Cynulliad Sans" w:cs="Times New Roman"/>
                <w:b w:val="0"/>
                <w:sz w:val="22"/>
                <w:szCs w:val="22"/>
              </w:rPr>
              <w:t>Median Total FTE Salary</w:t>
            </w:r>
          </w:p>
        </w:tc>
        <w:tc>
          <w:tcPr>
            <w:tcW w:w="538" w:type="pct"/>
            <w:hideMark/>
          </w:tcPr>
          <w:p w14:paraId="3DA6C623" w14:textId="77777777" w:rsidR="00910400" w:rsidRPr="00910400" w:rsidRDefault="00910400" w:rsidP="00A03923">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910400">
              <w:rPr>
                <w:rFonts w:eastAsia="Cynulliad Sans" w:cs="Times New Roman"/>
                <w:b w:val="0"/>
                <w:sz w:val="22"/>
                <w:szCs w:val="22"/>
              </w:rPr>
              <w:t>Count</w:t>
            </w:r>
          </w:p>
        </w:tc>
      </w:tr>
      <w:tr w:rsidR="00910400" w:rsidRPr="00910400" w14:paraId="4B8A9D68" w14:textId="77777777" w:rsidTr="00FC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hideMark/>
          </w:tcPr>
          <w:p w14:paraId="6366FB9E" w14:textId="77777777" w:rsidR="00910400" w:rsidRPr="00910400" w:rsidRDefault="00910400" w:rsidP="00A03923">
            <w:pPr>
              <w:spacing w:line="288" w:lineRule="auto"/>
              <w:rPr>
                <w:rFonts w:eastAsia="Cynulliad Sans" w:cs="Times New Roman"/>
                <w:sz w:val="22"/>
                <w:szCs w:val="22"/>
              </w:rPr>
            </w:pPr>
            <w:r w:rsidRPr="00910400">
              <w:rPr>
                <w:rFonts w:eastAsia="Cynulliad Sans" w:cs="Times New Roman"/>
                <w:sz w:val="22"/>
                <w:szCs w:val="22"/>
              </w:rPr>
              <w:t>Asian Bangladeshi</w:t>
            </w:r>
          </w:p>
        </w:tc>
        <w:tc>
          <w:tcPr>
            <w:tcW w:w="655" w:type="pct"/>
            <w:hideMark/>
          </w:tcPr>
          <w:p w14:paraId="00CFC288"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£23,980</w:t>
            </w:r>
          </w:p>
        </w:tc>
        <w:tc>
          <w:tcPr>
            <w:tcW w:w="655" w:type="pct"/>
            <w:hideMark/>
          </w:tcPr>
          <w:p w14:paraId="3D667E9F"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£23,980</w:t>
            </w:r>
          </w:p>
        </w:tc>
        <w:tc>
          <w:tcPr>
            <w:tcW w:w="655" w:type="pct"/>
            <w:hideMark/>
          </w:tcPr>
          <w:p w14:paraId="201481D7"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£22,067</w:t>
            </w:r>
          </w:p>
        </w:tc>
        <w:tc>
          <w:tcPr>
            <w:tcW w:w="655" w:type="pct"/>
            <w:hideMark/>
          </w:tcPr>
          <w:p w14:paraId="4DC5DF82"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£22,067</w:t>
            </w:r>
          </w:p>
        </w:tc>
        <w:tc>
          <w:tcPr>
            <w:tcW w:w="538" w:type="pct"/>
            <w:hideMark/>
          </w:tcPr>
          <w:p w14:paraId="3B1C663A"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w:t>
            </w:r>
          </w:p>
        </w:tc>
      </w:tr>
      <w:tr w:rsidR="00910400" w:rsidRPr="00910400" w14:paraId="2EAB26E8" w14:textId="77777777" w:rsidTr="00FC39C7">
        <w:tc>
          <w:tcPr>
            <w:cnfStyle w:val="001000000000" w:firstRow="0" w:lastRow="0" w:firstColumn="1" w:lastColumn="0" w:oddVBand="0" w:evenVBand="0" w:oddHBand="0" w:evenHBand="0" w:firstRowFirstColumn="0" w:firstRowLastColumn="0" w:lastRowFirstColumn="0" w:lastRowLastColumn="0"/>
            <w:tcW w:w="1842" w:type="pct"/>
            <w:hideMark/>
          </w:tcPr>
          <w:p w14:paraId="1FC56C8F" w14:textId="77777777" w:rsidR="00910400" w:rsidRPr="00910400" w:rsidRDefault="00910400" w:rsidP="00A03923">
            <w:pPr>
              <w:spacing w:line="288" w:lineRule="auto"/>
              <w:rPr>
                <w:rFonts w:eastAsia="Cynulliad Sans" w:cs="Times New Roman"/>
                <w:sz w:val="22"/>
                <w:szCs w:val="22"/>
              </w:rPr>
            </w:pPr>
            <w:r w:rsidRPr="00910400">
              <w:rPr>
                <w:rFonts w:eastAsia="Cynulliad Sans" w:cs="Times New Roman"/>
                <w:sz w:val="22"/>
                <w:szCs w:val="22"/>
              </w:rPr>
              <w:t>Asian Indian (including Asian-British Indian)</w:t>
            </w:r>
          </w:p>
        </w:tc>
        <w:tc>
          <w:tcPr>
            <w:tcW w:w="655" w:type="pct"/>
            <w:hideMark/>
          </w:tcPr>
          <w:p w14:paraId="73E27241"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£22,067</w:t>
            </w:r>
          </w:p>
        </w:tc>
        <w:tc>
          <w:tcPr>
            <w:tcW w:w="655" w:type="pct"/>
            <w:hideMark/>
          </w:tcPr>
          <w:p w14:paraId="51460C51"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£24,018</w:t>
            </w:r>
          </w:p>
        </w:tc>
        <w:tc>
          <w:tcPr>
            <w:tcW w:w="655" w:type="pct"/>
            <w:hideMark/>
          </w:tcPr>
          <w:p w14:paraId="07535E10"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£22,067</w:t>
            </w:r>
          </w:p>
        </w:tc>
        <w:tc>
          <w:tcPr>
            <w:tcW w:w="655" w:type="pct"/>
            <w:hideMark/>
          </w:tcPr>
          <w:p w14:paraId="244C4F1A"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£24,274</w:t>
            </w:r>
          </w:p>
        </w:tc>
        <w:tc>
          <w:tcPr>
            <w:tcW w:w="538" w:type="pct"/>
            <w:hideMark/>
          </w:tcPr>
          <w:p w14:paraId="1E835045"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5</w:t>
            </w:r>
          </w:p>
        </w:tc>
      </w:tr>
      <w:tr w:rsidR="00910400" w:rsidRPr="00910400" w14:paraId="4E961682" w14:textId="77777777" w:rsidTr="00FC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hideMark/>
          </w:tcPr>
          <w:p w14:paraId="770062D3" w14:textId="77777777" w:rsidR="00910400" w:rsidRPr="00910400" w:rsidRDefault="00910400" w:rsidP="00A03923">
            <w:pPr>
              <w:spacing w:line="288" w:lineRule="auto"/>
              <w:rPr>
                <w:rFonts w:eastAsia="Cynulliad Sans" w:cs="Times New Roman"/>
                <w:sz w:val="22"/>
                <w:szCs w:val="22"/>
              </w:rPr>
            </w:pPr>
            <w:r w:rsidRPr="00910400">
              <w:rPr>
                <w:rFonts w:eastAsia="Cynulliad Sans" w:cs="Times New Roman"/>
                <w:sz w:val="22"/>
                <w:szCs w:val="22"/>
              </w:rPr>
              <w:t>Black African (including Mixed Black African and White)</w:t>
            </w:r>
          </w:p>
        </w:tc>
        <w:tc>
          <w:tcPr>
            <w:tcW w:w="655" w:type="pct"/>
            <w:hideMark/>
          </w:tcPr>
          <w:p w14:paraId="64DC42F8"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£23,593</w:t>
            </w:r>
          </w:p>
        </w:tc>
        <w:tc>
          <w:tcPr>
            <w:tcW w:w="655" w:type="pct"/>
            <w:hideMark/>
          </w:tcPr>
          <w:p w14:paraId="710209EB"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£24,661</w:t>
            </w:r>
          </w:p>
        </w:tc>
        <w:tc>
          <w:tcPr>
            <w:tcW w:w="655" w:type="pct"/>
            <w:hideMark/>
          </w:tcPr>
          <w:p w14:paraId="764376CD"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£22,067</w:t>
            </w:r>
          </w:p>
        </w:tc>
        <w:tc>
          <w:tcPr>
            <w:tcW w:w="655" w:type="pct"/>
            <w:hideMark/>
          </w:tcPr>
          <w:p w14:paraId="15318F2F"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£23,956</w:t>
            </w:r>
          </w:p>
        </w:tc>
        <w:tc>
          <w:tcPr>
            <w:tcW w:w="538" w:type="pct"/>
            <w:hideMark/>
          </w:tcPr>
          <w:p w14:paraId="294EC987"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5</w:t>
            </w:r>
          </w:p>
        </w:tc>
      </w:tr>
      <w:tr w:rsidR="00910400" w:rsidRPr="00910400" w14:paraId="6C08792F" w14:textId="77777777" w:rsidTr="00FC39C7">
        <w:tc>
          <w:tcPr>
            <w:cnfStyle w:val="001000000000" w:firstRow="0" w:lastRow="0" w:firstColumn="1" w:lastColumn="0" w:oddVBand="0" w:evenVBand="0" w:oddHBand="0" w:evenHBand="0" w:firstRowFirstColumn="0" w:firstRowLastColumn="0" w:lastRowFirstColumn="0" w:lastRowLastColumn="0"/>
            <w:tcW w:w="1842" w:type="pct"/>
            <w:hideMark/>
          </w:tcPr>
          <w:p w14:paraId="6EEA6A97" w14:textId="77777777" w:rsidR="00910400" w:rsidRPr="00910400" w:rsidRDefault="00910400" w:rsidP="00A03923">
            <w:pPr>
              <w:spacing w:line="288" w:lineRule="auto"/>
              <w:rPr>
                <w:rFonts w:eastAsia="Cynulliad Sans" w:cs="Times New Roman"/>
                <w:sz w:val="22"/>
                <w:szCs w:val="22"/>
              </w:rPr>
            </w:pPr>
            <w:r w:rsidRPr="00910400">
              <w:rPr>
                <w:rFonts w:eastAsia="Cynulliad Sans" w:cs="Times New Roman"/>
                <w:sz w:val="22"/>
                <w:szCs w:val="22"/>
              </w:rPr>
              <w:t>White</w:t>
            </w:r>
          </w:p>
        </w:tc>
        <w:tc>
          <w:tcPr>
            <w:tcW w:w="655" w:type="pct"/>
            <w:hideMark/>
          </w:tcPr>
          <w:p w14:paraId="32081C3E"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£34,940</w:t>
            </w:r>
          </w:p>
        </w:tc>
        <w:tc>
          <w:tcPr>
            <w:tcW w:w="655" w:type="pct"/>
            <w:hideMark/>
          </w:tcPr>
          <w:p w14:paraId="7C3033E3"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£35,501</w:t>
            </w:r>
          </w:p>
        </w:tc>
        <w:tc>
          <w:tcPr>
            <w:tcW w:w="655" w:type="pct"/>
            <w:hideMark/>
          </w:tcPr>
          <w:p w14:paraId="60438299"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£32,893</w:t>
            </w:r>
          </w:p>
        </w:tc>
        <w:tc>
          <w:tcPr>
            <w:tcW w:w="655" w:type="pct"/>
            <w:hideMark/>
          </w:tcPr>
          <w:p w14:paraId="18F62098"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£32,893</w:t>
            </w:r>
          </w:p>
        </w:tc>
        <w:tc>
          <w:tcPr>
            <w:tcW w:w="538" w:type="pct"/>
            <w:hideMark/>
          </w:tcPr>
          <w:p w14:paraId="354D281C"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422</w:t>
            </w:r>
          </w:p>
        </w:tc>
      </w:tr>
      <w:tr w:rsidR="00910400" w:rsidRPr="00910400" w14:paraId="60E56C2E" w14:textId="77777777" w:rsidTr="00FC39C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842" w:type="pct"/>
            <w:hideMark/>
          </w:tcPr>
          <w:p w14:paraId="1C1DF710" w14:textId="77777777" w:rsidR="00910400" w:rsidRPr="00910400" w:rsidRDefault="00910400" w:rsidP="00A03923">
            <w:pPr>
              <w:spacing w:line="288" w:lineRule="auto"/>
              <w:rPr>
                <w:rFonts w:eastAsia="Cynulliad Sans" w:cs="Times New Roman"/>
                <w:sz w:val="22"/>
                <w:szCs w:val="22"/>
              </w:rPr>
            </w:pPr>
            <w:r w:rsidRPr="00910400">
              <w:rPr>
                <w:rFonts w:eastAsia="Cynulliad Sans" w:cs="Times New Roman"/>
                <w:sz w:val="22"/>
                <w:szCs w:val="22"/>
              </w:rPr>
              <w:t>Other Ethnic Origin</w:t>
            </w:r>
          </w:p>
        </w:tc>
        <w:tc>
          <w:tcPr>
            <w:tcW w:w="655" w:type="pct"/>
            <w:hideMark/>
          </w:tcPr>
          <w:p w14:paraId="449BE55F"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£38,812</w:t>
            </w:r>
          </w:p>
        </w:tc>
        <w:tc>
          <w:tcPr>
            <w:tcW w:w="655" w:type="pct"/>
            <w:hideMark/>
          </w:tcPr>
          <w:p w14:paraId="2BBB4F12"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£39,239</w:t>
            </w:r>
          </w:p>
        </w:tc>
        <w:tc>
          <w:tcPr>
            <w:tcW w:w="655" w:type="pct"/>
            <w:hideMark/>
          </w:tcPr>
          <w:p w14:paraId="4BD52C0C"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£25,012</w:t>
            </w:r>
          </w:p>
        </w:tc>
        <w:tc>
          <w:tcPr>
            <w:tcW w:w="655" w:type="pct"/>
            <w:hideMark/>
          </w:tcPr>
          <w:p w14:paraId="4C079F47"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£25,012</w:t>
            </w:r>
          </w:p>
        </w:tc>
        <w:tc>
          <w:tcPr>
            <w:tcW w:w="538" w:type="pct"/>
            <w:hideMark/>
          </w:tcPr>
          <w:p w14:paraId="5B76353E" w14:textId="77777777" w:rsidR="00910400" w:rsidRPr="00910400" w:rsidRDefault="00910400" w:rsidP="00A03923">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7</w:t>
            </w:r>
          </w:p>
        </w:tc>
      </w:tr>
      <w:tr w:rsidR="00910400" w:rsidRPr="00910400" w14:paraId="591E88E8" w14:textId="77777777" w:rsidTr="00FC39C7">
        <w:trPr>
          <w:trHeight w:val="575"/>
        </w:trPr>
        <w:tc>
          <w:tcPr>
            <w:cnfStyle w:val="001000000000" w:firstRow="0" w:lastRow="0" w:firstColumn="1" w:lastColumn="0" w:oddVBand="0" w:evenVBand="0" w:oddHBand="0" w:evenHBand="0" w:firstRowFirstColumn="0" w:firstRowLastColumn="0" w:lastRowFirstColumn="0" w:lastRowLastColumn="0"/>
            <w:tcW w:w="1842" w:type="pct"/>
            <w:hideMark/>
          </w:tcPr>
          <w:p w14:paraId="5C7406B0" w14:textId="77777777" w:rsidR="00910400" w:rsidRPr="00910400" w:rsidRDefault="00910400" w:rsidP="00A03923">
            <w:pPr>
              <w:spacing w:line="288" w:lineRule="auto"/>
              <w:rPr>
                <w:rFonts w:eastAsia="Cynulliad Sans" w:cs="Times New Roman"/>
                <w:sz w:val="22"/>
                <w:szCs w:val="22"/>
              </w:rPr>
            </w:pPr>
            <w:r w:rsidRPr="00910400">
              <w:rPr>
                <w:rFonts w:eastAsia="Cynulliad Sans" w:cs="Times New Roman"/>
                <w:sz w:val="22"/>
                <w:szCs w:val="22"/>
              </w:rPr>
              <w:t>No reply/prefer not to say</w:t>
            </w:r>
          </w:p>
        </w:tc>
        <w:tc>
          <w:tcPr>
            <w:tcW w:w="655" w:type="pct"/>
            <w:hideMark/>
          </w:tcPr>
          <w:p w14:paraId="6A316FF1"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£34,843</w:t>
            </w:r>
          </w:p>
        </w:tc>
        <w:tc>
          <w:tcPr>
            <w:tcW w:w="655" w:type="pct"/>
            <w:hideMark/>
          </w:tcPr>
          <w:p w14:paraId="05A060DF"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£35,158</w:t>
            </w:r>
          </w:p>
        </w:tc>
        <w:tc>
          <w:tcPr>
            <w:tcW w:w="655" w:type="pct"/>
            <w:hideMark/>
          </w:tcPr>
          <w:p w14:paraId="74B10933"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£29,770</w:t>
            </w:r>
          </w:p>
        </w:tc>
        <w:tc>
          <w:tcPr>
            <w:tcW w:w="655" w:type="pct"/>
            <w:hideMark/>
          </w:tcPr>
          <w:p w14:paraId="46BAE097"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£31,332</w:t>
            </w:r>
          </w:p>
        </w:tc>
        <w:tc>
          <w:tcPr>
            <w:tcW w:w="538" w:type="pct"/>
            <w:hideMark/>
          </w:tcPr>
          <w:p w14:paraId="0A46CC76" w14:textId="77777777" w:rsidR="00910400" w:rsidRPr="00910400" w:rsidRDefault="00910400" w:rsidP="00A03923">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20</w:t>
            </w:r>
          </w:p>
        </w:tc>
      </w:tr>
    </w:tbl>
    <w:p w14:paraId="4EF0C54E" w14:textId="5D5C99E8" w:rsidR="00910400" w:rsidRDefault="00910400" w:rsidP="00910400">
      <w:pPr>
        <w:pStyle w:val="3Copy-text"/>
        <w:rPr>
          <w:lang w:eastAsia="en-GB"/>
        </w:rPr>
      </w:pPr>
      <w:r w:rsidRPr="00910400">
        <w:rPr>
          <w:lang w:eastAsia="en-GB"/>
        </w:rPr>
        <w:t>To calculate the differentials based on ethnicity, BME employees’ salaries are expressed as a percentage of non-BME (White) employees’ salaries.</w:t>
      </w:r>
    </w:p>
    <w:p w14:paraId="08CED5AA" w14:textId="77777777" w:rsidR="00910400" w:rsidRDefault="00910400" w:rsidP="00910400">
      <w:pPr>
        <w:pStyle w:val="3Copy-text"/>
        <w:rPr>
          <w:lang w:eastAsia="en-GB"/>
        </w:rPr>
      </w:pPr>
      <w:r>
        <w:rPr>
          <w:lang w:eastAsia="en-GB"/>
        </w:rPr>
        <w:t>Analysis:</w:t>
      </w:r>
    </w:p>
    <w:p w14:paraId="01E78DCA" w14:textId="39C6FDD7" w:rsidR="00910400" w:rsidRDefault="00910400" w:rsidP="00910400">
      <w:pPr>
        <w:pStyle w:val="4Bulletlist"/>
        <w:rPr>
          <w:lang w:eastAsia="en-GB"/>
        </w:rPr>
      </w:pPr>
      <w:r>
        <w:rPr>
          <w:lang w:eastAsia="en-GB"/>
        </w:rPr>
        <w:t>On a comparison of the entire workforce, rather than a grade by grade basis, staff who identify as White earn more than those who identify as any other category, save in the case of Other Ethnic Origin  where the mean basic and total FTE salary is higher than that of staff who identify as White. However, due to the small numbers involved in categories other than White, caution should be exercised as the data is sensitive to even small changes in these cohorts.</w:t>
      </w:r>
    </w:p>
    <w:p w14:paraId="2B37263F" w14:textId="347AC352" w:rsidR="00910400" w:rsidRDefault="00910400" w:rsidP="00910400">
      <w:pPr>
        <w:pStyle w:val="4Bulletlist"/>
        <w:rPr>
          <w:lang w:eastAsia="en-GB"/>
        </w:rPr>
      </w:pPr>
      <w:r>
        <w:rPr>
          <w:lang w:eastAsia="en-GB"/>
        </w:rPr>
        <w:lastRenderedPageBreak/>
        <w:t>Workforce monitoring data indicates that 60 % of staff who identify as BME are concentrated at the TS pay band. Our workforce data also indicates that 15% of staff who identify as BME are at Executive and Senior level and 85% of staff who identify as BME are in the lowest two pay bands. No staff identifying as BME are based at M2 and M1 grades in this reporting year.</w:t>
      </w:r>
    </w:p>
    <w:p w14:paraId="5EB59CDB" w14:textId="5BEC9EF4" w:rsidR="00910400" w:rsidRDefault="00910400" w:rsidP="00910400">
      <w:pPr>
        <w:pStyle w:val="4Bulletlist"/>
        <w:rPr>
          <w:lang w:eastAsia="en-GB"/>
        </w:rPr>
      </w:pPr>
      <w:r>
        <w:rPr>
          <w:lang w:eastAsia="en-GB"/>
        </w:rPr>
        <w:t>Pay difference for median total FTE salary for Asian Bangladeshi vs White is -32.9%</w:t>
      </w:r>
    </w:p>
    <w:p w14:paraId="4F944B79" w14:textId="56FCFABF" w:rsidR="00910400" w:rsidRDefault="00910400" w:rsidP="00910400">
      <w:pPr>
        <w:pStyle w:val="4Bulletlist"/>
        <w:rPr>
          <w:lang w:eastAsia="en-GB"/>
        </w:rPr>
      </w:pPr>
      <w:r>
        <w:rPr>
          <w:lang w:eastAsia="en-GB"/>
        </w:rPr>
        <w:t>Pay difference for median total FTE salary for Black African vs White is -27.2%</w:t>
      </w:r>
    </w:p>
    <w:p w14:paraId="072047B0" w14:textId="3990B342" w:rsidR="00910400" w:rsidRDefault="00910400" w:rsidP="00910400">
      <w:pPr>
        <w:pStyle w:val="4Bulletlist"/>
        <w:rPr>
          <w:lang w:eastAsia="en-GB"/>
        </w:rPr>
      </w:pPr>
      <w:r>
        <w:rPr>
          <w:lang w:eastAsia="en-GB"/>
        </w:rPr>
        <w:t>Pay difference for median total FTE salary for  Other ethnic origin  vs White is -24.0%</w:t>
      </w:r>
    </w:p>
    <w:p w14:paraId="7C6ADF89" w14:textId="77777777" w:rsidR="00910400" w:rsidRDefault="00910400" w:rsidP="00910400">
      <w:pPr>
        <w:pStyle w:val="4Bulletlist"/>
        <w:rPr>
          <w:lang w:eastAsia="en-GB"/>
        </w:rPr>
      </w:pPr>
      <w:r>
        <w:rPr>
          <w:lang w:eastAsia="en-GB"/>
        </w:rPr>
        <w:t xml:space="preserve">These differentials warrant further examination as we have identified similar differentials in previous reporting years for race/ethnicity. The actions we are continuing to take to address this via our BME action plan and strategy to address underrepresentation are: </w:t>
      </w:r>
    </w:p>
    <w:p w14:paraId="2B0E783E" w14:textId="53604860" w:rsidR="00910400" w:rsidRDefault="00910400" w:rsidP="00910400">
      <w:pPr>
        <w:pStyle w:val="4Bulletlist"/>
        <w:rPr>
          <w:lang w:eastAsia="en-GB"/>
        </w:rPr>
      </w:pPr>
      <w:r>
        <w:rPr>
          <w:lang w:eastAsia="en-GB"/>
        </w:rPr>
        <w:t>supporting existing BME staff to fulfil their learning and development and career  aspirations;</w:t>
      </w:r>
    </w:p>
    <w:p w14:paraId="6527A489" w14:textId="457B9235" w:rsidR="00910400" w:rsidRDefault="00910400" w:rsidP="00910400">
      <w:pPr>
        <w:pStyle w:val="4Bulletlist"/>
        <w:rPr>
          <w:lang w:eastAsia="en-GB"/>
        </w:rPr>
      </w:pPr>
      <w:r>
        <w:rPr>
          <w:lang w:eastAsia="en-GB"/>
        </w:rPr>
        <w:t xml:space="preserve">Developing and rolling out an unconscious bias training module for all staff </w:t>
      </w:r>
    </w:p>
    <w:p w14:paraId="3CDFF695" w14:textId="412D8D42" w:rsidR="00910400" w:rsidRDefault="00910400" w:rsidP="00910400">
      <w:pPr>
        <w:pStyle w:val="4Bulletlist"/>
        <w:rPr>
          <w:lang w:eastAsia="en-GB"/>
        </w:rPr>
      </w:pPr>
      <w:r>
        <w:rPr>
          <w:lang w:eastAsia="en-GB"/>
        </w:rPr>
        <w:t>Utilising our REACH network and our Senior BME Champion to identify any areas for improvement in the workplace;</w:t>
      </w:r>
    </w:p>
    <w:p w14:paraId="770391A9" w14:textId="531D2450" w:rsidR="00910400" w:rsidRDefault="00910400" w:rsidP="00910400">
      <w:pPr>
        <w:pStyle w:val="4Bulletlist"/>
        <w:rPr>
          <w:lang w:eastAsia="en-GB"/>
        </w:rPr>
      </w:pPr>
      <w:r>
        <w:rPr>
          <w:lang w:eastAsia="en-GB"/>
        </w:rPr>
        <w:t>Undertaking an equality impact assessment of our recruitment practices and processes;</w:t>
      </w:r>
    </w:p>
    <w:p w14:paraId="5EF7F0EF" w14:textId="45D5C16D" w:rsidR="00910400" w:rsidRDefault="00910400" w:rsidP="00910400">
      <w:pPr>
        <w:pStyle w:val="4Bulletlist"/>
        <w:rPr>
          <w:lang w:eastAsia="en-GB"/>
        </w:rPr>
      </w:pPr>
      <w:r>
        <w:rPr>
          <w:lang w:eastAsia="en-GB"/>
        </w:rPr>
        <w:t>Developing an Attraction, Retention and Reward strategy which includes working with external partners as an employer of choice, looking at our offering for work placements and how we attract the widest range of talented people; and</w:t>
      </w:r>
    </w:p>
    <w:p w14:paraId="60802BD6" w14:textId="22807C1D" w:rsidR="00910400" w:rsidRDefault="00910400" w:rsidP="00910400">
      <w:pPr>
        <w:pStyle w:val="4Bulletlist"/>
        <w:rPr>
          <w:lang w:eastAsia="en-GB"/>
        </w:rPr>
      </w:pPr>
      <w:r>
        <w:rPr>
          <w:lang w:eastAsia="en-GB"/>
        </w:rPr>
        <w:t>Developing a cultural awareness training module to offer staff.</w:t>
      </w:r>
    </w:p>
    <w:p w14:paraId="36262ABE" w14:textId="77777777" w:rsidR="00910400" w:rsidRDefault="00910400">
      <w:pPr>
        <w:spacing w:before="0" w:after="160" w:line="259" w:lineRule="auto"/>
        <w:rPr>
          <w:rFonts w:eastAsia="Lucida Sans" w:cs="Times New Roman"/>
          <w:color w:val="414042"/>
          <w:kern w:val="24"/>
          <w:lang w:eastAsia="en-GB"/>
        </w:rPr>
      </w:pPr>
      <w:r>
        <w:rPr>
          <w:lang w:eastAsia="en-GB"/>
        </w:rPr>
        <w:br w:type="page"/>
      </w:r>
    </w:p>
    <w:p w14:paraId="4235BC2A" w14:textId="57B27C90" w:rsidR="00910400" w:rsidRDefault="00910400" w:rsidP="00910400">
      <w:pPr>
        <w:pStyle w:val="2Sub-headings"/>
        <w:rPr>
          <w:lang w:eastAsia="en-GB"/>
        </w:rPr>
      </w:pPr>
      <w:r w:rsidRPr="00910400">
        <w:rPr>
          <w:lang w:eastAsia="en-GB"/>
        </w:rPr>
        <w:lastRenderedPageBreak/>
        <w:t>Nationality Analysis</w:t>
      </w:r>
    </w:p>
    <w:p w14:paraId="102EE88B" w14:textId="04A05E99" w:rsidR="00FC39C7" w:rsidRDefault="00FC39C7" w:rsidP="00FC39C7">
      <w:pPr>
        <w:pStyle w:val="Caption"/>
        <w:keepNext/>
      </w:pPr>
      <w:r>
        <w:t xml:space="preserve">Table </w:t>
      </w:r>
      <w:fldSimple w:instr=" SEQ Table \* ARABIC ">
        <w:r w:rsidR="00332158">
          <w:rPr>
            <w:noProof/>
          </w:rPr>
          <w:t>27</w:t>
        </w:r>
      </w:fldSimple>
      <w:r>
        <w:t xml:space="preserve">: </w:t>
      </w:r>
      <w:r w:rsidRPr="00E24578">
        <w:t>Staff Pay by Nationality</w:t>
      </w:r>
    </w:p>
    <w:tbl>
      <w:tblPr>
        <w:tblStyle w:val="GridTable4-Accent4"/>
        <w:tblW w:w="5000" w:type="pct"/>
        <w:tblLook w:val="04A0" w:firstRow="1" w:lastRow="0" w:firstColumn="1" w:lastColumn="0" w:noHBand="0" w:noVBand="1"/>
      </w:tblPr>
      <w:tblGrid>
        <w:gridCol w:w="5099"/>
        <w:gridCol w:w="2049"/>
        <w:gridCol w:w="2052"/>
        <w:gridCol w:w="2052"/>
        <w:gridCol w:w="1937"/>
        <w:gridCol w:w="1597"/>
      </w:tblGrid>
      <w:tr w:rsidR="00910400" w:rsidRPr="00910400" w14:paraId="2ADA082B" w14:textId="77777777" w:rsidTr="00FC3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1FCE76FB" w14:textId="77777777" w:rsidR="00910400" w:rsidRPr="00910400" w:rsidRDefault="00910400" w:rsidP="0076472B">
            <w:pPr>
              <w:spacing w:line="288" w:lineRule="auto"/>
              <w:rPr>
                <w:rFonts w:eastAsia="Cynulliad Sans" w:cs="Times New Roman"/>
                <w:sz w:val="22"/>
                <w:szCs w:val="22"/>
              </w:rPr>
            </w:pPr>
          </w:p>
        </w:tc>
        <w:tc>
          <w:tcPr>
            <w:tcW w:w="693" w:type="pct"/>
            <w:hideMark/>
          </w:tcPr>
          <w:p w14:paraId="4EB74E21" w14:textId="77777777" w:rsidR="00910400" w:rsidRPr="00910400" w:rsidRDefault="00910400" w:rsidP="0076472B">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910400">
              <w:rPr>
                <w:rFonts w:eastAsia="Cynulliad Sans" w:cs="Times New Roman"/>
                <w:b w:val="0"/>
                <w:sz w:val="22"/>
                <w:szCs w:val="22"/>
              </w:rPr>
              <w:t>Mean Basic FTE Salary</w:t>
            </w:r>
          </w:p>
        </w:tc>
        <w:tc>
          <w:tcPr>
            <w:tcW w:w="694" w:type="pct"/>
            <w:hideMark/>
          </w:tcPr>
          <w:p w14:paraId="693D24BF" w14:textId="77777777" w:rsidR="00910400" w:rsidRPr="00910400" w:rsidRDefault="00910400" w:rsidP="0076472B">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910400">
              <w:rPr>
                <w:rFonts w:eastAsia="Cynulliad Sans" w:cs="Times New Roman"/>
                <w:b w:val="0"/>
                <w:sz w:val="22"/>
                <w:szCs w:val="22"/>
              </w:rPr>
              <w:t>Mean Total FTE Salary</w:t>
            </w:r>
          </w:p>
        </w:tc>
        <w:tc>
          <w:tcPr>
            <w:tcW w:w="694" w:type="pct"/>
            <w:hideMark/>
          </w:tcPr>
          <w:p w14:paraId="69B7AEA4" w14:textId="77777777" w:rsidR="00910400" w:rsidRPr="00910400" w:rsidRDefault="00910400" w:rsidP="0076472B">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910400">
              <w:rPr>
                <w:rFonts w:eastAsia="Cynulliad Sans" w:cs="Times New Roman"/>
                <w:b w:val="0"/>
                <w:sz w:val="22"/>
                <w:szCs w:val="22"/>
              </w:rPr>
              <w:t>Median Basic FTE Salary</w:t>
            </w:r>
          </w:p>
        </w:tc>
        <w:tc>
          <w:tcPr>
            <w:tcW w:w="655" w:type="pct"/>
            <w:hideMark/>
          </w:tcPr>
          <w:p w14:paraId="46B3C210" w14:textId="77777777" w:rsidR="00910400" w:rsidRPr="00910400" w:rsidRDefault="00910400" w:rsidP="0076472B">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910400">
              <w:rPr>
                <w:rFonts w:eastAsia="Cynulliad Sans" w:cs="Times New Roman"/>
                <w:b w:val="0"/>
                <w:sz w:val="22"/>
                <w:szCs w:val="22"/>
              </w:rPr>
              <w:t>Median Total FTE Salary</w:t>
            </w:r>
          </w:p>
        </w:tc>
        <w:tc>
          <w:tcPr>
            <w:tcW w:w="540" w:type="pct"/>
            <w:hideMark/>
          </w:tcPr>
          <w:p w14:paraId="7928BCA5" w14:textId="77777777" w:rsidR="00910400" w:rsidRPr="00910400" w:rsidRDefault="00910400" w:rsidP="0076472B">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910400">
              <w:rPr>
                <w:rFonts w:eastAsia="Cynulliad Sans" w:cs="Times New Roman"/>
                <w:b w:val="0"/>
                <w:sz w:val="22"/>
                <w:szCs w:val="22"/>
              </w:rPr>
              <w:t>Count</w:t>
            </w:r>
          </w:p>
        </w:tc>
      </w:tr>
      <w:tr w:rsidR="00910400" w:rsidRPr="00910400" w14:paraId="097B4EF9" w14:textId="77777777" w:rsidTr="00FC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hideMark/>
          </w:tcPr>
          <w:p w14:paraId="097827C6" w14:textId="77777777" w:rsidR="00910400" w:rsidRPr="00910400" w:rsidRDefault="00910400" w:rsidP="0076472B">
            <w:pPr>
              <w:spacing w:line="288" w:lineRule="auto"/>
              <w:rPr>
                <w:rFonts w:eastAsia="Cynulliad Sans" w:cs="Times New Roman"/>
                <w:sz w:val="22"/>
                <w:szCs w:val="22"/>
              </w:rPr>
            </w:pPr>
            <w:r w:rsidRPr="00910400">
              <w:rPr>
                <w:rFonts w:eastAsia="Cynulliad Sans" w:cs="Times New Roman"/>
                <w:sz w:val="22"/>
                <w:szCs w:val="22"/>
              </w:rPr>
              <w:t>British or Mixed British</w:t>
            </w:r>
          </w:p>
        </w:tc>
        <w:tc>
          <w:tcPr>
            <w:tcW w:w="693" w:type="pct"/>
            <w:hideMark/>
          </w:tcPr>
          <w:p w14:paraId="619A9BB6"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£34,266</w:t>
            </w:r>
          </w:p>
        </w:tc>
        <w:tc>
          <w:tcPr>
            <w:tcW w:w="694" w:type="pct"/>
            <w:hideMark/>
          </w:tcPr>
          <w:p w14:paraId="03548B95"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£34,784</w:t>
            </w:r>
          </w:p>
        </w:tc>
        <w:tc>
          <w:tcPr>
            <w:tcW w:w="694" w:type="pct"/>
            <w:hideMark/>
          </w:tcPr>
          <w:p w14:paraId="5D7B8D46"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£28,176</w:t>
            </w:r>
          </w:p>
        </w:tc>
        <w:tc>
          <w:tcPr>
            <w:tcW w:w="655" w:type="pct"/>
            <w:hideMark/>
          </w:tcPr>
          <w:p w14:paraId="67E78E78"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£29,770</w:t>
            </w:r>
          </w:p>
        </w:tc>
        <w:tc>
          <w:tcPr>
            <w:tcW w:w="540" w:type="pct"/>
            <w:hideMark/>
          </w:tcPr>
          <w:p w14:paraId="395192D9"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226</w:t>
            </w:r>
          </w:p>
        </w:tc>
      </w:tr>
      <w:tr w:rsidR="00910400" w:rsidRPr="00910400" w14:paraId="065C26E5" w14:textId="77777777" w:rsidTr="00FC39C7">
        <w:tc>
          <w:tcPr>
            <w:cnfStyle w:val="001000000000" w:firstRow="0" w:lastRow="0" w:firstColumn="1" w:lastColumn="0" w:oddVBand="0" w:evenVBand="0" w:oddHBand="0" w:evenHBand="0" w:firstRowFirstColumn="0" w:firstRowLastColumn="0" w:lastRowFirstColumn="0" w:lastRowLastColumn="0"/>
            <w:tcW w:w="1724" w:type="pct"/>
            <w:hideMark/>
          </w:tcPr>
          <w:p w14:paraId="5A916C84" w14:textId="77777777" w:rsidR="00910400" w:rsidRPr="00910400" w:rsidRDefault="00910400" w:rsidP="0076472B">
            <w:pPr>
              <w:spacing w:line="288" w:lineRule="auto"/>
              <w:rPr>
                <w:rFonts w:eastAsia="Cynulliad Sans" w:cs="Times New Roman"/>
                <w:sz w:val="22"/>
                <w:szCs w:val="22"/>
              </w:rPr>
            </w:pPr>
            <w:r w:rsidRPr="00910400">
              <w:rPr>
                <w:rFonts w:eastAsia="Cynulliad Sans" w:cs="Times New Roman"/>
                <w:sz w:val="22"/>
                <w:szCs w:val="22"/>
              </w:rPr>
              <w:t>English</w:t>
            </w:r>
          </w:p>
        </w:tc>
        <w:tc>
          <w:tcPr>
            <w:tcW w:w="693" w:type="pct"/>
            <w:hideMark/>
          </w:tcPr>
          <w:p w14:paraId="17FCD76D"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£37,758</w:t>
            </w:r>
          </w:p>
        </w:tc>
        <w:tc>
          <w:tcPr>
            <w:tcW w:w="694" w:type="pct"/>
            <w:hideMark/>
          </w:tcPr>
          <w:p w14:paraId="59E13169"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£38,521</w:t>
            </w:r>
          </w:p>
        </w:tc>
        <w:tc>
          <w:tcPr>
            <w:tcW w:w="694" w:type="pct"/>
            <w:hideMark/>
          </w:tcPr>
          <w:p w14:paraId="2F31678E"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£36,453</w:t>
            </w:r>
          </w:p>
        </w:tc>
        <w:tc>
          <w:tcPr>
            <w:tcW w:w="655" w:type="pct"/>
            <w:hideMark/>
          </w:tcPr>
          <w:p w14:paraId="155E8755"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£36,453</w:t>
            </w:r>
          </w:p>
        </w:tc>
        <w:tc>
          <w:tcPr>
            <w:tcW w:w="540" w:type="pct"/>
            <w:hideMark/>
          </w:tcPr>
          <w:p w14:paraId="667A8C10"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7</w:t>
            </w:r>
          </w:p>
        </w:tc>
      </w:tr>
      <w:tr w:rsidR="00910400" w:rsidRPr="00910400" w14:paraId="47FCB776" w14:textId="77777777" w:rsidTr="00FC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hideMark/>
          </w:tcPr>
          <w:p w14:paraId="184CD3F2" w14:textId="77777777" w:rsidR="00910400" w:rsidRPr="00910400" w:rsidRDefault="00910400" w:rsidP="0076472B">
            <w:pPr>
              <w:spacing w:line="288" w:lineRule="auto"/>
              <w:rPr>
                <w:rFonts w:eastAsia="Cynulliad Sans" w:cs="Times New Roman"/>
                <w:sz w:val="22"/>
                <w:szCs w:val="22"/>
              </w:rPr>
            </w:pPr>
            <w:r w:rsidRPr="00910400">
              <w:rPr>
                <w:rFonts w:eastAsia="Cynulliad Sans" w:cs="Times New Roman"/>
                <w:sz w:val="22"/>
                <w:szCs w:val="22"/>
              </w:rPr>
              <w:t>Irish or Scottish</w:t>
            </w:r>
          </w:p>
        </w:tc>
        <w:tc>
          <w:tcPr>
            <w:tcW w:w="693" w:type="pct"/>
            <w:hideMark/>
          </w:tcPr>
          <w:p w14:paraId="566B9998"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£20,791</w:t>
            </w:r>
          </w:p>
        </w:tc>
        <w:tc>
          <w:tcPr>
            <w:tcW w:w="694" w:type="pct"/>
            <w:hideMark/>
          </w:tcPr>
          <w:p w14:paraId="78F03C46"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£22,006</w:t>
            </w:r>
          </w:p>
        </w:tc>
        <w:tc>
          <w:tcPr>
            <w:tcW w:w="694" w:type="pct"/>
            <w:hideMark/>
          </w:tcPr>
          <w:p w14:paraId="33454463"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£20,791</w:t>
            </w:r>
          </w:p>
        </w:tc>
        <w:tc>
          <w:tcPr>
            <w:tcW w:w="655" w:type="pct"/>
            <w:hideMark/>
          </w:tcPr>
          <w:p w14:paraId="035D66A8"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£22,006</w:t>
            </w:r>
          </w:p>
        </w:tc>
        <w:tc>
          <w:tcPr>
            <w:tcW w:w="540" w:type="pct"/>
            <w:hideMark/>
          </w:tcPr>
          <w:p w14:paraId="3137E298"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w:t>
            </w:r>
          </w:p>
        </w:tc>
      </w:tr>
      <w:tr w:rsidR="00910400" w:rsidRPr="00910400" w14:paraId="093B245F" w14:textId="77777777" w:rsidTr="00FC39C7">
        <w:tc>
          <w:tcPr>
            <w:cnfStyle w:val="001000000000" w:firstRow="0" w:lastRow="0" w:firstColumn="1" w:lastColumn="0" w:oddVBand="0" w:evenVBand="0" w:oddHBand="0" w:evenHBand="0" w:firstRowFirstColumn="0" w:firstRowLastColumn="0" w:lastRowFirstColumn="0" w:lastRowLastColumn="0"/>
            <w:tcW w:w="1724" w:type="pct"/>
            <w:hideMark/>
          </w:tcPr>
          <w:p w14:paraId="45170654" w14:textId="77777777" w:rsidR="00910400" w:rsidRPr="00910400" w:rsidRDefault="00910400" w:rsidP="0076472B">
            <w:pPr>
              <w:spacing w:line="288" w:lineRule="auto"/>
              <w:rPr>
                <w:rFonts w:eastAsia="Cynulliad Sans" w:cs="Times New Roman"/>
                <w:sz w:val="22"/>
                <w:szCs w:val="22"/>
              </w:rPr>
            </w:pPr>
            <w:r w:rsidRPr="00910400">
              <w:rPr>
                <w:rFonts w:eastAsia="Cynulliad Sans" w:cs="Times New Roman"/>
                <w:sz w:val="22"/>
                <w:szCs w:val="22"/>
              </w:rPr>
              <w:t>Welsh</w:t>
            </w:r>
          </w:p>
        </w:tc>
        <w:tc>
          <w:tcPr>
            <w:tcW w:w="693" w:type="pct"/>
            <w:hideMark/>
          </w:tcPr>
          <w:p w14:paraId="1F5AA3E7"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£35,264</w:t>
            </w:r>
          </w:p>
        </w:tc>
        <w:tc>
          <w:tcPr>
            <w:tcW w:w="694" w:type="pct"/>
            <w:hideMark/>
          </w:tcPr>
          <w:p w14:paraId="734E9128"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£35,891</w:t>
            </w:r>
          </w:p>
        </w:tc>
        <w:tc>
          <w:tcPr>
            <w:tcW w:w="694" w:type="pct"/>
            <w:hideMark/>
          </w:tcPr>
          <w:p w14:paraId="2823AD3C"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£32,893</w:t>
            </w:r>
          </w:p>
        </w:tc>
        <w:tc>
          <w:tcPr>
            <w:tcW w:w="655" w:type="pct"/>
            <w:hideMark/>
          </w:tcPr>
          <w:p w14:paraId="7BB99A74"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£35,169</w:t>
            </w:r>
          </w:p>
        </w:tc>
        <w:tc>
          <w:tcPr>
            <w:tcW w:w="540" w:type="pct"/>
            <w:hideMark/>
          </w:tcPr>
          <w:p w14:paraId="1A67552B"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210</w:t>
            </w:r>
          </w:p>
        </w:tc>
      </w:tr>
      <w:tr w:rsidR="00910400" w:rsidRPr="00910400" w14:paraId="54E64964" w14:textId="77777777" w:rsidTr="00FC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hideMark/>
          </w:tcPr>
          <w:p w14:paraId="3CEF0A82" w14:textId="77777777" w:rsidR="00910400" w:rsidRPr="00910400" w:rsidRDefault="00910400" w:rsidP="0076472B">
            <w:pPr>
              <w:spacing w:line="288" w:lineRule="auto"/>
              <w:rPr>
                <w:rFonts w:eastAsia="Cynulliad Sans" w:cs="Times New Roman"/>
                <w:sz w:val="22"/>
                <w:szCs w:val="22"/>
              </w:rPr>
            </w:pPr>
            <w:r w:rsidRPr="00910400">
              <w:rPr>
                <w:rFonts w:eastAsia="Cynulliad Sans" w:cs="Times New Roman"/>
                <w:sz w:val="22"/>
                <w:szCs w:val="22"/>
              </w:rPr>
              <w:t>Other Nationality</w:t>
            </w:r>
          </w:p>
        </w:tc>
        <w:tc>
          <w:tcPr>
            <w:tcW w:w="693" w:type="pct"/>
            <w:hideMark/>
          </w:tcPr>
          <w:p w14:paraId="3972E755"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£32,059</w:t>
            </w:r>
          </w:p>
        </w:tc>
        <w:tc>
          <w:tcPr>
            <w:tcW w:w="694" w:type="pct"/>
            <w:hideMark/>
          </w:tcPr>
          <w:p w14:paraId="08217403"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£32,716</w:t>
            </w:r>
          </w:p>
        </w:tc>
        <w:tc>
          <w:tcPr>
            <w:tcW w:w="694" w:type="pct"/>
            <w:hideMark/>
          </w:tcPr>
          <w:p w14:paraId="066C3930"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£23,956</w:t>
            </w:r>
          </w:p>
        </w:tc>
        <w:tc>
          <w:tcPr>
            <w:tcW w:w="655" w:type="pct"/>
            <w:hideMark/>
          </w:tcPr>
          <w:p w14:paraId="00DA8C5B"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£26,352</w:t>
            </w:r>
          </w:p>
        </w:tc>
        <w:tc>
          <w:tcPr>
            <w:tcW w:w="540" w:type="pct"/>
            <w:hideMark/>
          </w:tcPr>
          <w:p w14:paraId="5B472F16" w14:textId="77777777" w:rsidR="00910400" w:rsidRPr="00910400" w:rsidRDefault="00910400"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7</w:t>
            </w:r>
          </w:p>
        </w:tc>
      </w:tr>
      <w:tr w:rsidR="00910400" w:rsidRPr="00910400" w14:paraId="2E121B69" w14:textId="77777777" w:rsidTr="00FC39C7">
        <w:trPr>
          <w:trHeight w:val="575"/>
        </w:trPr>
        <w:tc>
          <w:tcPr>
            <w:cnfStyle w:val="001000000000" w:firstRow="0" w:lastRow="0" w:firstColumn="1" w:lastColumn="0" w:oddVBand="0" w:evenVBand="0" w:oddHBand="0" w:evenHBand="0" w:firstRowFirstColumn="0" w:firstRowLastColumn="0" w:lastRowFirstColumn="0" w:lastRowLastColumn="0"/>
            <w:tcW w:w="1724" w:type="pct"/>
            <w:hideMark/>
          </w:tcPr>
          <w:p w14:paraId="219A63F0" w14:textId="77777777" w:rsidR="00910400" w:rsidRPr="00910400" w:rsidRDefault="00910400" w:rsidP="0076472B">
            <w:pPr>
              <w:spacing w:line="288" w:lineRule="auto"/>
              <w:rPr>
                <w:rFonts w:eastAsia="Cynulliad Sans" w:cs="Times New Roman"/>
                <w:sz w:val="22"/>
                <w:szCs w:val="22"/>
              </w:rPr>
            </w:pPr>
            <w:r w:rsidRPr="00910400">
              <w:rPr>
                <w:rFonts w:eastAsia="Cynulliad Sans" w:cs="Times New Roman"/>
                <w:sz w:val="22"/>
                <w:szCs w:val="22"/>
              </w:rPr>
              <w:t>No Reply</w:t>
            </w:r>
          </w:p>
        </w:tc>
        <w:tc>
          <w:tcPr>
            <w:tcW w:w="693" w:type="pct"/>
            <w:hideMark/>
          </w:tcPr>
          <w:p w14:paraId="3AF8A32A"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£33,353</w:t>
            </w:r>
          </w:p>
        </w:tc>
        <w:tc>
          <w:tcPr>
            <w:tcW w:w="694" w:type="pct"/>
            <w:hideMark/>
          </w:tcPr>
          <w:p w14:paraId="6F9845D7"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£33,353</w:t>
            </w:r>
          </w:p>
        </w:tc>
        <w:tc>
          <w:tcPr>
            <w:tcW w:w="694" w:type="pct"/>
            <w:hideMark/>
          </w:tcPr>
          <w:p w14:paraId="3FBC432A"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£28,788</w:t>
            </w:r>
          </w:p>
        </w:tc>
        <w:tc>
          <w:tcPr>
            <w:tcW w:w="655" w:type="pct"/>
            <w:hideMark/>
          </w:tcPr>
          <w:p w14:paraId="3469780D"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£28,788</w:t>
            </w:r>
          </w:p>
        </w:tc>
        <w:tc>
          <w:tcPr>
            <w:tcW w:w="540" w:type="pct"/>
            <w:hideMark/>
          </w:tcPr>
          <w:p w14:paraId="4D2F63BD" w14:textId="77777777" w:rsidR="00910400" w:rsidRPr="00910400" w:rsidRDefault="00910400"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910400">
              <w:rPr>
                <w:rFonts w:eastAsia="Cynulliad Sans" w:cs="Times New Roman"/>
                <w:sz w:val="22"/>
                <w:szCs w:val="22"/>
              </w:rPr>
              <w:t>10</w:t>
            </w:r>
          </w:p>
        </w:tc>
      </w:tr>
    </w:tbl>
    <w:p w14:paraId="2CE5A9A5" w14:textId="77777777" w:rsidR="00910400" w:rsidRDefault="00910400" w:rsidP="00910400">
      <w:pPr>
        <w:pStyle w:val="3Copy-text"/>
        <w:rPr>
          <w:lang w:eastAsia="en-GB"/>
        </w:rPr>
      </w:pPr>
      <w:r>
        <w:rPr>
          <w:lang w:eastAsia="en-GB"/>
        </w:rPr>
        <w:t>Analysis:</w:t>
      </w:r>
    </w:p>
    <w:p w14:paraId="01A9F1F7" w14:textId="459D139B" w:rsidR="00910400" w:rsidRDefault="00910400" w:rsidP="00910400">
      <w:pPr>
        <w:pStyle w:val="4Bulletlist"/>
        <w:rPr>
          <w:lang w:eastAsia="en-GB"/>
        </w:rPr>
      </w:pPr>
      <w:r>
        <w:rPr>
          <w:lang w:eastAsia="en-GB"/>
        </w:rPr>
        <w:t>Based on the data presented, there does not appear to be an equal pay risk based on nationality. However, due to the small numbers involved in categories identified as being other than British/Mixed British or Welsh, caution should be exercised as the data is sensitive to even small changes in these cohorts.</w:t>
      </w:r>
    </w:p>
    <w:p w14:paraId="3605F06F" w14:textId="77777777" w:rsidR="00910400" w:rsidRDefault="00910400">
      <w:pPr>
        <w:spacing w:before="0" w:after="160" w:line="259" w:lineRule="auto"/>
        <w:rPr>
          <w:rFonts w:eastAsia="Lucida Sans" w:cs="Times New Roman"/>
          <w:color w:val="414042"/>
          <w:kern w:val="24"/>
          <w:lang w:eastAsia="en-GB"/>
        </w:rPr>
      </w:pPr>
      <w:r>
        <w:rPr>
          <w:lang w:eastAsia="en-GB"/>
        </w:rPr>
        <w:br w:type="page"/>
      </w:r>
    </w:p>
    <w:p w14:paraId="442060D2" w14:textId="77777777" w:rsidR="00054F6D" w:rsidRDefault="00054F6D" w:rsidP="00054F6D">
      <w:pPr>
        <w:pStyle w:val="2Sub-headings"/>
        <w:rPr>
          <w:lang w:eastAsia="en-GB"/>
        </w:rPr>
      </w:pPr>
      <w:r>
        <w:rPr>
          <w:lang w:eastAsia="en-GB"/>
        </w:rPr>
        <w:lastRenderedPageBreak/>
        <w:t>Religion or Belief Analysis</w:t>
      </w:r>
    </w:p>
    <w:p w14:paraId="0A5DABFA" w14:textId="17C7C724" w:rsidR="00FC39C7" w:rsidRDefault="00FC39C7" w:rsidP="00FC39C7">
      <w:pPr>
        <w:pStyle w:val="Caption"/>
        <w:keepNext/>
      </w:pPr>
      <w:r>
        <w:t xml:space="preserve">Table </w:t>
      </w:r>
      <w:fldSimple w:instr=" SEQ Table \* ARABIC ">
        <w:r w:rsidR="00332158">
          <w:rPr>
            <w:noProof/>
          </w:rPr>
          <w:t>28</w:t>
        </w:r>
      </w:fldSimple>
      <w:r>
        <w:t xml:space="preserve">: </w:t>
      </w:r>
      <w:r w:rsidRPr="00FF1F12">
        <w:t>Staff Pay by Religion or Belief</w:t>
      </w:r>
    </w:p>
    <w:tbl>
      <w:tblPr>
        <w:tblStyle w:val="GridTable4-Accent4"/>
        <w:tblW w:w="5000" w:type="pct"/>
        <w:tblLook w:val="04A0" w:firstRow="1" w:lastRow="0" w:firstColumn="1" w:lastColumn="0" w:noHBand="0" w:noVBand="1"/>
      </w:tblPr>
      <w:tblGrid>
        <w:gridCol w:w="4476"/>
        <w:gridCol w:w="2100"/>
        <w:gridCol w:w="2100"/>
        <w:gridCol w:w="2100"/>
        <w:gridCol w:w="2100"/>
        <w:gridCol w:w="1910"/>
      </w:tblGrid>
      <w:tr w:rsidR="00054F6D" w:rsidRPr="00054F6D" w14:paraId="26DA2B79" w14:textId="77777777" w:rsidTr="00FC3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tcPr>
          <w:p w14:paraId="0276039F" w14:textId="77777777" w:rsidR="00054F6D" w:rsidRPr="00054F6D" w:rsidRDefault="00054F6D" w:rsidP="0076472B">
            <w:pPr>
              <w:spacing w:line="288" w:lineRule="auto"/>
              <w:rPr>
                <w:rFonts w:eastAsia="Cynulliad Sans" w:cs="Times New Roman"/>
                <w:sz w:val="22"/>
                <w:szCs w:val="22"/>
              </w:rPr>
            </w:pPr>
          </w:p>
        </w:tc>
        <w:tc>
          <w:tcPr>
            <w:tcW w:w="710" w:type="pct"/>
            <w:hideMark/>
          </w:tcPr>
          <w:p w14:paraId="0475977F" w14:textId="77777777" w:rsidR="00054F6D" w:rsidRPr="00054F6D" w:rsidRDefault="00054F6D" w:rsidP="0076472B">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054F6D">
              <w:rPr>
                <w:rFonts w:eastAsia="Cynulliad Sans" w:cs="Times New Roman"/>
                <w:b w:val="0"/>
                <w:sz w:val="22"/>
                <w:szCs w:val="22"/>
              </w:rPr>
              <w:t>Mean Basic FTE Salary</w:t>
            </w:r>
          </w:p>
        </w:tc>
        <w:tc>
          <w:tcPr>
            <w:tcW w:w="710" w:type="pct"/>
            <w:hideMark/>
          </w:tcPr>
          <w:p w14:paraId="2E41A77A" w14:textId="77777777" w:rsidR="00054F6D" w:rsidRPr="00054F6D" w:rsidRDefault="00054F6D" w:rsidP="0076472B">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054F6D">
              <w:rPr>
                <w:rFonts w:eastAsia="Cynulliad Sans" w:cs="Times New Roman"/>
                <w:b w:val="0"/>
                <w:sz w:val="22"/>
                <w:szCs w:val="22"/>
              </w:rPr>
              <w:t>Mean Total FTE Salary</w:t>
            </w:r>
          </w:p>
        </w:tc>
        <w:tc>
          <w:tcPr>
            <w:tcW w:w="710" w:type="pct"/>
            <w:hideMark/>
          </w:tcPr>
          <w:p w14:paraId="27C2B09B" w14:textId="77777777" w:rsidR="00054F6D" w:rsidRPr="00054F6D" w:rsidRDefault="00054F6D" w:rsidP="0076472B">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054F6D">
              <w:rPr>
                <w:rFonts w:eastAsia="Cynulliad Sans" w:cs="Times New Roman"/>
                <w:b w:val="0"/>
                <w:sz w:val="22"/>
                <w:szCs w:val="22"/>
              </w:rPr>
              <w:t>Median Basic FTE Salary</w:t>
            </w:r>
          </w:p>
        </w:tc>
        <w:tc>
          <w:tcPr>
            <w:tcW w:w="710" w:type="pct"/>
            <w:hideMark/>
          </w:tcPr>
          <w:p w14:paraId="72FDE4DD" w14:textId="77777777" w:rsidR="00054F6D" w:rsidRPr="00054F6D" w:rsidRDefault="00054F6D" w:rsidP="0076472B">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054F6D">
              <w:rPr>
                <w:rFonts w:eastAsia="Cynulliad Sans" w:cs="Times New Roman"/>
                <w:b w:val="0"/>
                <w:sz w:val="22"/>
                <w:szCs w:val="22"/>
              </w:rPr>
              <w:t>Median Total FTE Salary</w:t>
            </w:r>
          </w:p>
        </w:tc>
        <w:tc>
          <w:tcPr>
            <w:tcW w:w="646" w:type="pct"/>
            <w:hideMark/>
          </w:tcPr>
          <w:p w14:paraId="1141DD79" w14:textId="77777777" w:rsidR="00054F6D" w:rsidRPr="00054F6D" w:rsidRDefault="00054F6D" w:rsidP="0076472B">
            <w:pPr>
              <w:spacing w:line="288" w:lineRule="auto"/>
              <w:cnfStyle w:val="100000000000" w:firstRow="1" w:lastRow="0" w:firstColumn="0" w:lastColumn="0" w:oddVBand="0" w:evenVBand="0" w:oddHBand="0" w:evenHBand="0" w:firstRowFirstColumn="0" w:firstRowLastColumn="0" w:lastRowFirstColumn="0" w:lastRowLastColumn="0"/>
              <w:rPr>
                <w:rFonts w:eastAsia="Cynulliad Sans" w:cs="Times New Roman"/>
                <w:b w:val="0"/>
                <w:sz w:val="22"/>
                <w:szCs w:val="22"/>
              </w:rPr>
            </w:pPr>
            <w:r w:rsidRPr="00054F6D">
              <w:rPr>
                <w:rFonts w:eastAsia="Cynulliad Sans" w:cs="Times New Roman"/>
                <w:b w:val="0"/>
                <w:sz w:val="22"/>
                <w:szCs w:val="22"/>
              </w:rPr>
              <w:t>Count</w:t>
            </w:r>
          </w:p>
        </w:tc>
      </w:tr>
      <w:tr w:rsidR="00054F6D" w:rsidRPr="00054F6D" w14:paraId="5C607621" w14:textId="77777777" w:rsidTr="00FC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hideMark/>
          </w:tcPr>
          <w:p w14:paraId="1AC2837F" w14:textId="77777777" w:rsidR="00054F6D" w:rsidRPr="00054F6D" w:rsidRDefault="00054F6D" w:rsidP="0076472B">
            <w:pPr>
              <w:spacing w:line="288" w:lineRule="auto"/>
              <w:rPr>
                <w:rFonts w:eastAsia="Cynulliad Sans" w:cs="Times New Roman"/>
                <w:sz w:val="22"/>
                <w:szCs w:val="22"/>
              </w:rPr>
            </w:pPr>
            <w:r w:rsidRPr="00054F6D">
              <w:rPr>
                <w:rFonts w:eastAsia="Cynulliad Sans" w:cs="Times New Roman"/>
                <w:sz w:val="22"/>
                <w:szCs w:val="22"/>
              </w:rPr>
              <w:t>Agnostic</w:t>
            </w:r>
          </w:p>
        </w:tc>
        <w:tc>
          <w:tcPr>
            <w:tcW w:w="710" w:type="pct"/>
            <w:hideMark/>
          </w:tcPr>
          <w:p w14:paraId="333B5E01"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£36,753</w:t>
            </w:r>
          </w:p>
        </w:tc>
        <w:tc>
          <w:tcPr>
            <w:tcW w:w="710" w:type="pct"/>
            <w:hideMark/>
          </w:tcPr>
          <w:p w14:paraId="07920F0E"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£37,897</w:t>
            </w:r>
          </w:p>
        </w:tc>
        <w:tc>
          <w:tcPr>
            <w:tcW w:w="710" w:type="pct"/>
            <w:hideMark/>
          </w:tcPr>
          <w:p w14:paraId="09583287"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£36,453</w:t>
            </w:r>
          </w:p>
        </w:tc>
        <w:tc>
          <w:tcPr>
            <w:tcW w:w="710" w:type="pct"/>
            <w:hideMark/>
          </w:tcPr>
          <w:p w14:paraId="17971F7D"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£38,029</w:t>
            </w:r>
          </w:p>
        </w:tc>
        <w:tc>
          <w:tcPr>
            <w:tcW w:w="646" w:type="pct"/>
            <w:hideMark/>
          </w:tcPr>
          <w:p w14:paraId="1B9FCBF7"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8</w:t>
            </w:r>
          </w:p>
        </w:tc>
      </w:tr>
      <w:tr w:rsidR="00054F6D" w:rsidRPr="00054F6D" w14:paraId="7EC48DD4" w14:textId="77777777" w:rsidTr="00FC39C7">
        <w:tc>
          <w:tcPr>
            <w:cnfStyle w:val="001000000000" w:firstRow="0" w:lastRow="0" w:firstColumn="1" w:lastColumn="0" w:oddVBand="0" w:evenVBand="0" w:oddHBand="0" w:evenHBand="0" w:firstRowFirstColumn="0" w:firstRowLastColumn="0" w:lastRowFirstColumn="0" w:lastRowLastColumn="0"/>
            <w:tcW w:w="1514" w:type="pct"/>
            <w:hideMark/>
          </w:tcPr>
          <w:p w14:paraId="7BA0C10D" w14:textId="77777777" w:rsidR="00054F6D" w:rsidRPr="00054F6D" w:rsidRDefault="00054F6D" w:rsidP="0076472B">
            <w:pPr>
              <w:spacing w:line="288" w:lineRule="auto"/>
              <w:rPr>
                <w:rFonts w:eastAsia="Cynulliad Sans" w:cs="Times New Roman"/>
                <w:sz w:val="22"/>
                <w:szCs w:val="22"/>
              </w:rPr>
            </w:pPr>
            <w:r w:rsidRPr="00054F6D">
              <w:rPr>
                <w:rFonts w:eastAsia="Cynulliad Sans" w:cs="Times New Roman"/>
                <w:sz w:val="22"/>
                <w:szCs w:val="22"/>
              </w:rPr>
              <w:t>Atheist</w:t>
            </w:r>
          </w:p>
        </w:tc>
        <w:tc>
          <w:tcPr>
            <w:tcW w:w="710" w:type="pct"/>
            <w:hideMark/>
          </w:tcPr>
          <w:p w14:paraId="611B1398"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£43,685</w:t>
            </w:r>
          </w:p>
        </w:tc>
        <w:tc>
          <w:tcPr>
            <w:tcW w:w="710" w:type="pct"/>
            <w:hideMark/>
          </w:tcPr>
          <w:p w14:paraId="66CBA26E"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£44,039</w:t>
            </w:r>
          </w:p>
        </w:tc>
        <w:tc>
          <w:tcPr>
            <w:tcW w:w="710" w:type="pct"/>
            <w:hideMark/>
          </w:tcPr>
          <w:p w14:paraId="2D234B9A"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£39,306</w:t>
            </w:r>
          </w:p>
        </w:tc>
        <w:tc>
          <w:tcPr>
            <w:tcW w:w="710" w:type="pct"/>
            <w:hideMark/>
          </w:tcPr>
          <w:p w14:paraId="3E180D2A"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£39,869</w:t>
            </w:r>
          </w:p>
        </w:tc>
        <w:tc>
          <w:tcPr>
            <w:tcW w:w="646" w:type="pct"/>
            <w:hideMark/>
          </w:tcPr>
          <w:p w14:paraId="3BBDE344"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24</w:t>
            </w:r>
          </w:p>
        </w:tc>
      </w:tr>
      <w:tr w:rsidR="00054F6D" w:rsidRPr="00054F6D" w14:paraId="19F8A06B" w14:textId="77777777" w:rsidTr="00FC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hideMark/>
          </w:tcPr>
          <w:p w14:paraId="5581EDF5" w14:textId="77777777" w:rsidR="00054F6D" w:rsidRPr="00054F6D" w:rsidRDefault="00054F6D" w:rsidP="0076472B">
            <w:pPr>
              <w:spacing w:line="288" w:lineRule="auto"/>
              <w:rPr>
                <w:rFonts w:eastAsia="Cynulliad Sans" w:cs="Times New Roman"/>
                <w:sz w:val="22"/>
                <w:szCs w:val="22"/>
              </w:rPr>
            </w:pPr>
            <w:r w:rsidRPr="00054F6D">
              <w:rPr>
                <w:rFonts w:eastAsia="Cynulliad Sans" w:cs="Times New Roman"/>
                <w:sz w:val="22"/>
                <w:szCs w:val="22"/>
              </w:rPr>
              <w:t>Christianity</w:t>
            </w:r>
          </w:p>
        </w:tc>
        <w:tc>
          <w:tcPr>
            <w:tcW w:w="710" w:type="pct"/>
            <w:hideMark/>
          </w:tcPr>
          <w:p w14:paraId="7492B83A"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£35,574</w:t>
            </w:r>
          </w:p>
        </w:tc>
        <w:tc>
          <w:tcPr>
            <w:tcW w:w="710" w:type="pct"/>
            <w:hideMark/>
          </w:tcPr>
          <w:p w14:paraId="3BB27C50"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£36,058</w:t>
            </w:r>
          </w:p>
        </w:tc>
        <w:tc>
          <w:tcPr>
            <w:tcW w:w="710" w:type="pct"/>
            <w:hideMark/>
          </w:tcPr>
          <w:p w14:paraId="4957CAA0"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£36,453</w:t>
            </w:r>
          </w:p>
        </w:tc>
        <w:tc>
          <w:tcPr>
            <w:tcW w:w="710" w:type="pct"/>
            <w:hideMark/>
          </w:tcPr>
          <w:p w14:paraId="4805337E"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£36,453</w:t>
            </w:r>
          </w:p>
        </w:tc>
        <w:tc>
          <w:tcPr>
            <w:tcW w:w="646" w:type="pct"/>
            <w:hideMark/>
          </w:tcPr>
          <w:p w14:paraId="0A953AAC"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149</w:t>
            </w:r>
          </w:p>
        </w:tc>
      </w:tr>
      <w:tr w:rsidR="00054F6D" w:rsidRPr="00054F6D" w14:paraId="050D5CFD" w14:textId="77777777" w:rsidTr="00FC39C7">
        <w:tc>
          <w:tcPr>
            <w:cnfStyle w:val="001000000000" w:firstRow="0" w:lastRow="0" w:firstColumn="1" w:lastColumn="0" w:oddVBand="0" w:evenVBand="0" w:oddHBand="0" w:evenHBand="0" w:firstRowFirstColumn="0" w:firstRowLastColumn="0" w:lastRowFirstColumn="0" w:lastRowLastColumn="0"/>
            <w:tcW w:w="1514" w:type="pct"/>
            <w:hideMark/>
          </w:tcPr>
          <w:p w14:paraId="722EEABB" w14:textId="77777777" w:rsidR="00054F6D" w:rsidRPr="00054F6D" w:rsidRDefault="00054F6D" w:rsidP="0076472B">
            <w:pPr>
              <w:spacing w:line="288" w:lineRule="auto"/>
              <w:rPr>
                <w:rFonts w:eastAsia="Cynulliad Sans" w:cs="Times New Roman"/>
                <w:sz w:val="22"/>
                <w:szCs w:val="22"/>
              </w:rPr>
            </w:pPr>
            <w:r w:rsidRPr="00054F6D">
              <w:rPr>
                <w:rFonts w:eastAsia="Cynulliad Sans" w:cs="Times New Roman"/>
                <w:sz w:val="22"/>
                <w:szCs w:val="22"/>
              </w:rPr>
              <w:t>Muslim</w:t>
            </w:r>
          </w:p>
        </w:tc>
        <w:tc>
          <w:tcPr>
            <w:tcW w:w="710" w:type="pct"/>
            <w:hideMark/>
          </w:tcPr>
          <w:p w14:paraId="0CEFFB2D"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£22,067</w:t>
            </w:r>
          </w:p>
        </w:tc>
        <w:tc>
          <w:tcPr>
            <w:tcW w:w="710" w:type="pct"/>
            <w:hideMark/>
          </w:tcPr>
          <w:p w14:paraId="6D83AEE8"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£22,067</w:t>
            </w:r>
          </w:p>
        </w:tc>
        <w:tc>
          <w:tcPr>
            <w:tcW w:w="710" w:type="pct"/>
            <w:hideMark/>
          </w:tcPr>
          <w:p w14:paraId="6FD9F802"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£22,067</w:t>
            </w:r>
          </w:p>
        </w:tc>
        <w:tc>
          <w:tcPr>
            <w:tcW w:w="710" w:type="pct"/>
            <w:hideMark/>
          </w:tcPr>
          <w:p w14:paraId="180C5D24"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£22,067</w:t>
            </w:r>
          </w:p>
        </w:tc>
        <w:tc>
          <w:tcPr>
            <w:tcW w:w="646" w:type="pct"/>
            <w:hideMark/>
          </w:tcPr>
          <w:p w14:paraId="2D5DDDA9"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w:t>
            </w:r>
          </w:p>
        </w:tc>
      </w:tr>
      <w:tr w:rsidR="00054F6D" w:rsidRPr="00054F6D" w14:paraId="5936D12F" w14:textId="77777777" w:rsidTr="00FC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hideMark/>
          </w:tcPr>
          <w:p w14:paraId="6CB4F90D" w14:textId="77777777" w:rsidR="00054F6D" w:rsidRPr="00054F6D" w:rsidRDefault="00054F6D" w:rsidP="0076472B">
            <w:pPr>
              <w:spacing w:line="288" w:lineRule="auto"/>
              <w:rPr>
                <w:rFonts w:eastAsia="Cynulliad Sans" w:cs="Times New Roman"/>
                <w:sz w:val="22"/>
                <w:szCs w:val="22"/>
              </w:rPr>
            </w:pPr>
            <w:r w:rsidRPr="00054F6D">
              <w:rPr>
                <w:rFonts w:eastAsia="Cynulliad Sans" w:cs="Times New Roman"/>
                <w:sz w:val="22"/>
                <w:szCs w:val="22"/>
              </w:rPr>
              <w:t>Other (includes those religions with less than three followers in the Commission)</w:t>
            </w:r>
          </w:p>
        </w:tc>
        <w:tc>
          <w:tcPr>
            <w:tcW w:w="710" w:type="pct"/>
            <w:hideMark/>
          </w:tcPr>
          <w:p w14:paraId="75C348D4"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£37,082</w:t>
            </w:r>
          </w:p>
        </w:tc>
        <w:tc>
          <w:tcPr>
            <w:tcW w:w="710" w:type="pct"/>
            <w:hideMark/>
          </w:tcPr>
          <w:p w14:paraId="5FCDD670"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£37,446</w:t>
            </w:r>
          </w:p>
        </w:tc>
        <w:tc>
          <w:tcPr>
            <w:tcW w:w="710" w:type="pct"/>
            <w:hideMark/>
          </w:tcPr>
          <w:p w14:paraId="76A87667"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£27,195</w:t>
            </w:r>
          </w:p>
        </w:tc>
        <w:tc>
          <w:tcPr>
            <w:tcW w:w="710" w:type="pct"/>
            <w:hideMark/>
          </w:tcPr>
          <w:p w14:paraId="37D346F4"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£27,195</w:t>
            </w:r>
          </w:p>
        </w:tc>
        <w:tc>
          <w:tcPr>
            <w:tcW w:w="646" w:type="pct"/>
            <w:hideMark/>
          </w:tcPr>
          <w:p w14:paraId="3F55CA18"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10</w:t>
            </w:r>
          </w:p>
        </w:tc>
      </w:tr>
      <w:tr w:rsidR="00054F6D" w:rsidRPr="00054F6D" w14:paraId="13C6589A" w14:textId="77777777" w:rsidTr="00FC39C7">
        <w:trPr>
          <w:trHeight w:val="575"/>
        </w:trPr>
        <w:tc>
          <w:tcPr>
            <w:cnfStyle w:val="001000000000" w:firstRow="0" w:lastRow="0" w:firstColumn="1" w:lastColumn="0" w:oddVBand="0" w:evenVBand="0" w:oddHBand="0" w:evenHBand="0" w:firstRowFirstColumn="0" w:firstRowLastColumn="0" w:lastRowFirstColumn="0" w:lastRowLastColumn="0"/>
            <w:tcW w:w="1514" w:type="pct"/>
            <w:hideMark/>
          </w:tcPr>
          <w:p w14:paraId="2703E971" w14:textId="77777777" w:rsidR="00054F6D" w:rsidRPr="00054F6D" w:rsidRDefault="00054F6D" w:rsidP="0076472B">
            <w:pPr>
              <w:spacing w:line="288" w:lineRule="auto"/>
              <w:rPr>
                <w:rFonts w:eastAsia="Cynulliad Sans" w:cs="Times New Roman"/>
                <w:sz w:val="22"/>
                <w:szCs w:val="22"/>
              </w:rPr>
            </w:pPr>
            <w:r w:rsidRPr="00054F6D">
              <w:rPr>
                <w:rFonts w:eastAsia="Cynulliad Sans" w:cs="Times New Roman"/>
                <w:sz w:val="22"/>
                <w:szCs w:val="22"/>
              </w:rPr>
              <w:t>None</w:t>
            </w:r>
          </w:p>
        </w:tc>
        <w:tc>
          <w:tcPr>
            <w:tcW w:w="710" w:type="pct"/>
            <w:hideMark/>
          </w:tcPr>
          <w:p w14:paraId="5C1F6712"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£31,750</w:t>
            </w:r>
          </w:p>
        </w:tc>
        <w:tc>
          <w:tcPr>
            <w:tcW w:w="710" w:type="pct"/>
            <w:hideMark/>
          </w:tcPr>
          <w:p w14:paraId="3BC20145"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£32,227</w:t>
            </w:r>
          </w:p>
        </w:tc>
        <w:tc>
          <w:tcPr>
            <w:tcW w:w="710" w:type="pct"/>
            <w:hideMark/>
          </w:tcPr>
          <w:p w14:paraId="1CB784D7"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£27,806</w:t>
            </w:r>
          </w:p>
        </w:tc>
        <w:tc>
          <w:tcPr>
            <w:tcW w:w="710" w:type="pct"/>
            <w:hideMark/>
          </w:tcPr>
          <w:p w14:paraId="476FFE9A"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£27,806</w:t>
            </w:r>
          </w:p>
        </w:tc>
        <w:tc>
          <w:tcPr>
            <w:tcW w:w="646" w:type="pct"/>
            <w:hideMark/>
          </w:tcPr>
          <w:p w14:paraId="2E873343"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172</w:t>
            </w:r>
          </w:p>
        </w:tc>
      </w:tr>
      <w:tr w:rsidR="00054F6D" w:rsidRPr="00054F6D" w14:paraId="722064FD" w14:textId="77777777" w:rsidTr="00FC39C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14" w:type="pct"/>
            <w:hideMark/>
          </w:tcPr>
          <w:p w14:paraId="3B41B575" w14:textId="77777777" w:rsidR="00054F6D" w:rsidRPr="00054F6D" w:rsidRDefault="00054F6D" w:rsidP="0076472B">
            <w:pPr>
              <w:spacing w:line="288" w:lineRule="auto"/>
              <w:rPr>
                <w:rFonts w:eastAsia="Cynulliad Sans" w:cs="Times New Roman"/>
                <w:sz w:val="22"/>
                <w:szCs w:val="22"/>
              </w:rPr>
            </w:pPr>
            <w:r w:rsidRPr="00054F6D">
              <w:rPr>
                <w:rFonts w:eastAsia="Cynulliad Sans" w:cs="Times New Roman"/>
                <w:sz w:val="22"/>
                <w:szCs w:val="22"/>
              </w:rPr>
              <w:t>Prefer not to say</w:t>
            </w:r>
          </w:p>
        </w:tc>
        <w:tc>
          <w:tcPr>
            <w:tcW w:w="710" w:type="pct"/>
            <w:hideMark/>
          </w:tcPr>
          <w:p w14:paraId="62DB151B"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£39,441</w:t>
            </w:r>
          </w:p>
        </w:tc>
        <w:tc>
          <w:tcPr>
            <w:tcW w:w="710" w:type="pct"/>
            <w:hideMark/>
          </w:tcPr>
          <w:p w14:paraId="09C59137"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£39,799</w:t>
            </w:r>
          </w:p>
        </w:tc>
        <w:tc>
          <w:tcPr>
            <w:tcW w:w="710" w:type="pct"/>
            <w:hideMark/>
          </w:tcPr>
          <w:p w14:paraId="7B60ADBD"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£36,453</w:t>
            </w:r>
          </w:p>
        </w:tc>
        <w:tc>
          <w:tcPr>
            <w:tcW w:w="710" w:type="pct"/>
            <w:hideMark/>
          </w:tcPr>
          <w:p w14:paraId="46F625CB"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£36,453</w:t>
            </w:r>
          </w:p>
        </w:tc>
        <w:tc>
          <w:tcPr>
            <w:tcW w:w="646" w:type="pct"/>
            <w:hideMark/>
          </w:tcPr>
          <w:p w14:paraId="6C14B994" w14:textId="77777777" w:rsidR="00054F6D" w:rsidRPr="00054F6D" w:rsidRDefault="00054F6D" w:rsidP="0076472B">
            <w:pPr>
              <w:spacing w:line="288"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35</w:t>
            </w:r>
          </w:p>
        </w:tc>
      </w:tr>
      <w:tr w:rsidR="00054F6D" w:rsidRPr="00054F6D" w14:paraId="1259D3E4" w14:textId="77777777" w:rsidTr="00FC39C7">
        <w:trPr>
          <w:trHeight w:val="575"/>
        </w:trPr>
        <w:tc>
          <w:tcPr>
            <w:cnfStyle w:val="001000000000" w:firstRow="0" w:lastRow="0" w:firstColumn="1" w:lastColumn="0" w:oddVBand="0" w:evenVBand="0" w:oddHBand="0" w:evenHBand="0" w:firstRowFirstColumn="0" w:firstRowLastColumn="0" w:lastRowFirstColumn="0" w:lastRowLastColumn="0"/>
            <w:tcW w:w="1514" w:type="pct"/>
            <w:hideMark/>
          </w:tcPr>
          <w:p w14:paraId="5FCF326C" w14:textId="77777777" w:rsidR="00054F6D" w:rsidRPr="00054F6D" w:rsidRDefault="00054F6D" w:rsidP="0076472B">
            <w:pPr>
              <w:spacing w:line="288" w:lineRule="auto"/>
              <w:rPr>
                <w:rFonts w:eastAsia="Cynulliad Sans" w:cs="Times New Roman"/>
                <w:sz w:val="22"/>
                <w:szCs w:val="22"/>
              </w:rPr>
            </w:pPr>
            <w:r w:rsidRPr="00054F6D">
              <w:rPr>
                <w:rFonts w:eastAsia="Cynulliad Sans" w:cs="Times New Roman"/>
                <w:sz w:val="22"/>
                <w:szCs w:val="22"/>
              </w:rPr>
              <w:t>No Reply</w:t>
            </w:r>
          </w:p>
        </w:tc>
        <w:tc>
          <w:tcPr>
            <w:tcW w:w="710" w:type="pct"/>
            <w:hideMark/>
          </w:tcPr>
          <w:p w14:paraId="2ACE4475"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£34,621</w:t>
            </w:r>
          </w:p>
        </w:tc>
        <w:tc>
          <w:tcPr>
            <w:tcW w:w="710" w:type="pct"/>
            <w:hideMark/>
          </w:tcPr>
          <w:p w14:paraId="46251392"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£35,816</w:t>
            </w:r>
          </w:p>
        </w:tc>
        <w:tc>
          <w:tcPr>
            <w:tcW w:w="710" w:type="pct"/>
            <w:hideMark/>
          </w:tcPr>
          <w:p w14:paraId="176CA46E"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£27,806</w:t>
            </w:r>
          </w:p>
        </w:tc>
        <w:tc>
          <w:tcPr>
            <w:tcW w:w="710" w:type="pct"/>
            <w:hideMark/>
          </w:tcPr>
          <w:p w14:paraId="3DECC203"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£29,770</w:t>
            </w:r>
          </w:p>
        </w:tc>
        <w:tc>
          <w:tcPr>
            <w:tcW w:w="646" w:type="pct"/>
            <w:hideMark/>
          </w:tcPr>
          <w:p w14:paraId="3EDBD3D1" w14:textId="77777777" w:rsidR="00054F6D" w:rsidRPr="00054F6D" w:rsidRDefault="00054F6D" w:rsidP="0076472B">
            <w:pPr>
              <w:spacing w:line="288"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61</w:t>
            </w:r>
          </w:p>
        </w:tc>
      </w:tr>
    </w:tbl>
    <w:p w14:paraId="0E19DD33" w14:textId="77777777" w:rsidR="00054F6D" w:rsidRPr="00054F6D" w:rsidRDefault="00054F6D" w:rsidP="00054F6D">
      <w:pPr>
        <w:pStyle w:val="4Bulletlist"/>
        <w:numPr>
          <w:ilvl w:val="0"/>
          <w:numId w:val="0"/>
        </w:numPr>
        <w:rPr>
          <w:lang w:eastAsia="en-GB"/>
        </w:rPr>
      </w:pPr>
      <w:r w:rsidRPr="00054F6D">
        <w:rPr>
          <w:lang w:eastAsia="en-GB"/>
        </w:rPr>
        <w:t>Analysis:</w:t>
      </w:r>
    </w:p>
    <w:p w14:paraId="412BD049" w14:textId="04BECC1E" w:rsidR="00054F6D" w:rsidRPr="00054F6D" w:rsidRDefault="00054F6D" w:rsidP="00054F6D">
      <w:pPr>
        <w:pStyle w:val="4Bulletlist"/>
        <w:rPr>
          <w:lang w:eastAsia="en-GB"/>
        </w:rPr>
      </w:pPr>
      <w:r w:rsidRPr="00054F6D">
        <w:rPr>
          <w:lang w:eastAsia="en-GB"/>
        </w:rPr>
        <w:t>Based on the data presented, there does not appear to be an equal pay risk based on religion or belief. Whilst the staff who identify as Muslim are on lower pay when compared with the entire workforce, this is due to all three of these staff being employed in the TS grade which is the second lowest grade. None are currently employed in higher grades. The action points identified under the Race Analysis should also impact on this area. However, due to the small numbers involved in categories identified as being other than Christian or No Religion, caution should be exercised as the data is sensitive to even small changes in these cohorts.</w:t>
      </w:r>
    </w:p>
    <w:p w14:paraId="6DFECE3C" w14:textId="45AA1081" w:rsidR="00910400" w:rsidRDefault="00054F6D" w:rsidP="0076472B">
      <w:pPr>
        <w:pStyle w:val="2Sub-headings"/>
      </w:pPr>
      <w:r w:rsidRPr="00054F6D">
        <w:lastRenderedPageBreak/>
        <w:t>Gender Pay Gap Reporting</w:t>
      </w:r>
    </w:p>
    <w:p w14:paraId="31D67787" w14:textId="77777777" w:rsidR="00054F6D" w:rsidRDefault="00054F6D" w:rsidP="00054F6D">
      <w:pPr>
        <w:pStyle w:val="3Copy-text"/>
        <w:rPr>
          <w:lang w:eastAsia="en-GB"/>
        </w:rPr>
      </w:pPr>
      <w:r>
        <w:rPr>
          <w:lang w:eastAsia="en-GB"/>
        </w:rPr>
        <w:t>The Gender Pay Gap calculations are as required by the Equality Act 2010 (Specific Duties and Public Authorities) Regulations 2017. This differs from the calculations in the tables for our Equal Pay Audit (up to Table 12) for a number of reasons. These include:</w:t>
      </w:r>
    </w:p>
    <w:p w14:paraId="0BB43DE7" w14:textId="50AC8B5D" w:rsidR="00054F6D" w:rsidRDefault="00054F6D" w:rsidP="00054F6D">
      <w:pPr>
        <w:pStyle w:val="4Bulletlist"/>
        <w:rPr>
          <w:lang w:eastAsia="en-GB"/>
        </w:rPr>
      </w:pPr>
      <w:r>
        <w:rPr>
          <w:lang w:eastAsia="en-GB"/>
        </w:rPr>
        <w:t>Ordinary pay is calculated after salary sacrifices (e.g. for childcare vouchers, cycle to work scheme etc.) are excluded. This reduces the amount which is taken into account in the comparison. This has a greater effect on female hourly rates of pay than on male as women are more likely to take advantage of the childcare voucher salary sacrifice scheme; and</w:t>
      </w:r>
    </w:p>
    <w:p w14:paraId="28480021" w14:textId="6096A836" w:rsidR="00054F6D" w:rsidRDefault="00054F6D" w:rsidP="00054F6D">
      <w:pPr>
        <w:pStyle w:val="4Bulletlist"/>
        <w:rPr>
          <w:lang w:eastAsia="en-GB"/>
        </w:rPr>
      </w:pPr>
      <w:r>
        <w:rPr>
          <w:lang w:eastAsia="en-GB"/>
        </w:rPr>
        <w:t>The Equal Pay Audit data are based on a snapshot of salary levels as at 31 March 2017. The calculations for the Gender Pay Gap (table 13) are based on the salary for the whole of March and would therefore show a slightly lower figure if an employee had been promoted or received an incremental pay rise during the month of March.</w:t>
      </w:r>
    </w:p>
    <w:p w14:paraId="2D5256CE" w14:textId="4AD8E597" w:rsidR="00054F6D" w:rsidRDefault="00054F6D">
      <w:pPr>
        <w:spacing w:before="0" w:after="160" w:line="259" w:lineRule="auto"/>
        <w:rPr>
          <w:rFonts w:eastAsia="Lucida Sans" w:cs="Times New Roman"/>
          <w:color w:val="414042"/>
          <w:kern w:val="24"/>
          <w:lang w:eastAsia="en-GB"/>
        </w:rPr>
      </w:pPr>
      <w:r>
        <w:rPr>
          <w:lang w:eastAsia="en-GB"/>
        </w:rPr>
        <w:br w:type="page"/>
      </w:r>
    </w:p>
    <w:p w14:paraId="3F5696FE" w14:textId="142D352E" w:rsidR="00FC39C7" w:rsidRDefault="00FC39C7" w:rsidP="00FC39C7">
      <w:pPr>
        <w:pStyle w:val="Caption"/>
        <w:keepNext/>
      </w:pPr>
      <w:r>
        <w:lastRenderedPageBreak/>
        <w:t xml:space="preserve">Table </w:t>
      </w:r>
      <w:fldSimple w:instr=" SEQ Table \* ARABIC ">
        <w:r w:rsidR="00332158">
          <w:rPr>
            <w:noProof/>
          </w:rPr>
          <w:t>29</w:t>
        </w:r>
      </w:fldSimple>
      <w:r>
        <w:t xml:space="preserve">: </w:t>
      </w:r>
      <w:r w:rsidRPr="00AA25DE">
        <w:t>Gender Pay Gap Reporting [includes full-time and part-time employees]</w:t>
      </w:r>
    </w:p>
    <w:tbl>
      <w:tblPr>
        <w:tblStyle w:val="GridTable4-Accent4"/>
        <w:tblW w:w="5000" w:type="pct"/>
        <w:tblLook w:val="04A0" w:firstRow="1" w:lastRow="0" w:firstColumn="1" w:lastColumn="0" w:noHBand="0" w:noVBand="1"/>
      </w:tblPr>
      <w:tblGrid>
        <w:gridCol w:w="5243"/>
        <w:gridCol w:w="4705"/>
        <w:gridCol w:w="707"/>
        <w:gridCol w:w="1872"/>
        <w:gridCol w:w="2259"/>
      </w:tblGrid>
      <w:tr w:rsidR="00054F6D" w:rsidRPr="00054F6D" w14:paraId="2F8B667B" w14:textId="77777777" w:rsidTr="00E25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pct"/>
            <w:gridSpan w:val="4"/>
          </w:tcPr>
          <w:p w14:paraId="587036BE" w14:textId="77777777" w:rsidR="00054F6D" w:rsidRPr="00054F6D" w:rsidRDefault="00054F6D" w:rsidP="00E25E2F">
            <w:pPr>
              <w:keepNext/>
              <w:keepLines/>
              <w:spacing w:line="288" w:lineRule="auto"/>
              <w:rPr>
                <w:rFonts w:eastAsia="Calibri" w:cs="Times New Roman"/>
                <w:b w:val="0"/>
                <w:sz w:val="22"/>
                <w:szCs w:val="22"/>
              </w:rPr>
            </w:pPr>
          </w:p>
        </w:tc>
        <w:tc>
          <w:tcPr>
            <w:tcW w:w="764" w:type="pct"/>
            <w:hideMark/>
          </w:tcPr>
          <w:p w14:paraId="63F0FF9F" w14:textId="77777777" w:rsidR="00054F6D" w:rsidRPr="00054F6D" w:rsidRDefault="00054F6D" w:rsidP="00E25E2F">
            <w:pPr>
              <w:keepNext/>
              <w:keepLines/>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22"/>
                <w:szCs w:val="22"/>
              </w:rPr>
            </w:pPr>
            <w:r w:rsidRPr="00054F6D">
              <w:rPr>
                <w:rFonts w:eastAsia="Calibri" w:cs="Times New Roman"/>
                <w:b w:val="0"/>
                <w:sz w:val="22"/>
                <w:szCs w:val="22"/>
              </w:rPr>
              <w:t>%</w:t>
            </w:r>
          </w:p>
        </w:tc>
      </w:tr>
      <w:tr w:rsidR="00054F6D" w:rsidRPr="00054F6D" w14:paraId="5E34BA2B" w14:textId="77777777" w:rsidTr="00E25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pct"/>
            <w:gridSpan w:val="4"/>
            <w:vAlign w:val="center"/>
          </w:tcPr>
          <w:p w14:paraId="71EF4FDC" w14:textId="77777777" w:rsidR="00054F6D" w:rsidRPr="00054F6D" w:rsidRDefault="00054F6D" w:rsidP="00E25E2F">
            <w:pPr>
              <w:kinsoku w:val="0"/>
              <w:overflowPunct w:val="0"/>
              <w:autoSpaceDE w:val="0"/>
              <w:autoSpaceDN w:val="0"/>
              <w:adjustRightInd w:val="0"/>
              <w:spacing w:line="288" w:lineRule="auto"/>
              <w:rPr>
                <w:rFonts w:eastAsia="Calibri" w:cs="Times New Roman"/>
                <w:sz w:val="22"/>
                <w:szCs w:val="22"/>
              </w:rPr>
            </w:pPr>
            <w:r w:rsidRPr="00054F6D">
              <w:rPr>
                <w:rFonts w:eastAsia="Calibri" w:cs="Arial"/>
                <w:sz w:val="22"/>
                <w:szCs w:val="22"/>
              </w:rPr>
              <w:t>1.</w:t>
            </w:r>
            <w:r w:rsidRPr="00054F6D">
              <w:rPr>
                <w:rFonts w:eastAsia="Calibri" w:cs="Arial"/>
                <w:spacing w:val="-6"/>
                <w:sz w:val="22"/>
                <w:szCs w:val="22"/>
              </w:rPr>
              <w:t xml:space="preserve"> </w:t>
            </w:r>
            <w:r w:rsidRPr="00054F6D">
              <w:rPr>
                <w:rFonts w:eastAsia="Calibri" w:cs="Arial"/>
                <w:spacing w:val="-1"/>
                <w:sz w:val="22"/>
                <w:szCs w:val="22"/>
              </w:rPr>
              <w:t>M</w:t>
            </w:r>
            <w:r w:rsidRPr="00054F6D">
              <w:rPr>
                <w:rFonts w:eastAsia="Calibri" w:cs="Arial"/>
                <w:sz w:val="22"/>
                <w:szCs w:val="22"/>
              </w:rPr>
              <w:t>e</w:t>
            </w:r>
            <w:r w:rsidRPr="00054F6D">
              <w:rPr>
                <w:rFonts w:eastAsia="Calibri" w:cs="Arial"/>
                <w:spacing w:val="-2"/>
                <w:sz w:val="22"/>
                <w:szCs w:val="22"/>
              </w:rPr>
              <w:t>a</w:t>
            </w:r>
            <w:r w:rsidRPr="00054F6D">
              <w:rPr>
                <w:rFonts w:eastAsia="Calibri" w:cs="Arial"/>
                <w:sz w:val="22"/>
                <w:szCs w:val="22"/>
              </w:rPr>
              <w:t>n</w:t>
            </w:r>
            <w:r w:rsidRPr="00054F6D">
              <w:rPr>
                <w:rFonts w:eastAsia="Calibri" w:cs="Arial"/>
                <w:spacing w:val="-5"/>
                <w:sz w:val="22"/>
                <w:szCs w:val="22"/>
              </w:rPr>
              <w:t xml:space="preserve"> </w:t>
            </w:r>
            <w:r w:rsidRPr="00054F6D">
              <w:rPr>
                <w:rFonts w:eastAsia="Calibri" w:cs="Arial"/>
                <w:spacing w:val="-1"/>
                <w:sz w:val="22"/>
                <w:szCs w:val="22"/>
              </w:rPr>
              <w:t>g</w:t>
            </w:r>
            <w:r w:rsidRPr="00054F6D">
              <w:rPr>
                <w:rFonts w:eastAsia="Calibri" w:cs="Arial"/>
                <w:sz w:val="22"/>
                <w:szCs w:val="22"/>
              </w:rPr>
              <w:t>en</w:t>
            </w:r>
            <w:r w:rsidRPr="00054F6D">
              <w:rPr>
                <w:rFonts w:eastAsia="Calibri" w:cs="Arial"/>
                <w:spacing w:val="-2"/>
                <w:sz w:val="22"/>
                <w:szCs w:val="22"/>
              </w:rPr>
              <w:t>d</w:t>
            </w:r>
            <w:r w:rsidRPr="00054F6D">
              <w:rPr>
                <w:rFonts w:eastAsia="Calibri" w:cs="Arial"/>
                <w:sz w:val="22"/>
                <w:szCs w:val="22"/>
              </w:rPr>
              <w:t>er</w:t>
            </w:r>
            <w:r w:rsidRPr="00054F6D">
              <w:rPr>
                <w:rFonts w:eastAsia="Calibri" w:cs="Arial"/>
                <w:spacing w:val="-7"/>
                <w:sz w:val="22"/>
                <w:szCs w:val="22"/>
              </w:rPr>
              <w:t xml:space="preserve"> </w:t>
            </w:r>
            <w:r w:rsidRPr="00054F6D">
              <w:rPr>
                <w:rFonts w:eastAsia="Calibri" w:cs="Arial"/>
                <w:sz w:val="22"/>
                <w:szCs w:val="22"/>
              </w:rPr>
              <w:t>pay</w:t>
            </w:r>
            <w:r w:rsidRPr="00054F6D">
              <w:rPr>
                <w:rFonts w:eastAsia="Calibri" w:cs="Arial"/>
                <w:spacing w:val="-8"/>
                <w:sz w:val="22"/>
                <w:szCs w:val="22"/>
              </w:rPr>
              <w:t xml:space="preserve"> </w:t>
            </w:r>
            <w:r w:rsidRPr="00054F6D">
              <w:rPr>
                <w:rFonts w:eastAsia="Calibri" w:cs="Arial"/>
                <w:spacing w:val="-1"/>
                <w:sz w:val="22"/>
                <w:szCs w:val="22"/>
              </w:rPr>
              <w:t>g</w:t>
            </w:r>
            <w:r w:rsidRPr="00054F6D">
              <w:rPr>
                <w:rFonts w:eastAsia="Calibri" w:cs="Arial"/>
                <w:sz w:val="22"/>
                <w:szCs w:val="22"/>
              </w:rPr>
              <w:t>ap</w:t>
            </w:r>
            <w:r w:rsidRPr="00054F6D">
              <w:rPr>
                <w:rFonts w:eastAsia="Calibri" w:cs="Arial"/>
                <w:spacing w:val="-1"/>
                <w:sz w:val="22"/>
                <w:szCs w:val="22"/>
              </w:rPr>
              <w:t xml:space="preserve"> </w:t>
            </w:r>
            <w:r w:rsidRPr="00054F6D">
              <w:rPr>
                <w:rFonts w:eastAsia="Calibri" w:cs="Arial"/>
                <w:sz w:val="22"/>
                <w:szCs w:val="22"/>
              </w:rPr>
              <w:t>-</w:t>
            </w:r>
            <w:r w:rsidRPr="00054F6D">
              <w:rPr>
                <w:rFonts w:eastAsia="Calibri" w:cs="Arial"/>
                <w:spacing w:val="-7"/>
                <w:sz w:val="22"/>
                <w:szCs w:val="22"/>
              </w:rPr>
              <w:t xml:space="preserve"> </w:t>
            </w:r>
            <w:r w:rsidRPr="00054F6D">
              <w:rPr>
                <w:rFonts w:eastAsia="Calibri" w:cs="Arial"/>
                <w:sz w:val="22"/>
                <w:szCs w:val="22"/>
              </w:rPr>
              <w:t>Ordi</w:t>
            </w:r>
            <w:r w:rsidRPr="00054F6D">
              <w:rPr>
                <w:rFonts w:eastAsia="Calibri" w:cs="Arial"/>
                <w:spacing w:val="-2"/>
                <w:sz w:val="22"/>
                <w:szCs w:val="22"/>
              </w:rPr>
              <w:t>n</w:t>
            </w:r>
            <w:r w:rsidRPr="00054F6D">
              <w:rPr>
                <w:rFonts w:eastAsia="Calibri" w:cs="Arial"/>
                <w:sz w:val="22"/>
                <w:szCs w:val="22"/>
              </w:rPr>
              <w:t>ary</w:t>
            </w:r>
            <w:r w:rsidRPr="00054F6D">
              <w:rPr>
                <w:rFonts w:eastAsia="Calibri" w:cs="Arial"/>
                <w:spacing w:val="-9"/>
                <w:sz w:val="22"/>
                <w:szCs w:val="22"/>
              </w:rPr>
              <w:t xml:space="preserve"> </w:t>
            </w:r>
            <w:r w:rsidRPr="00054F6D">
              <w:rPr>
                <w:rFonts w:eastAsia="Calibri" w:cs="Arial"/>
                <w:spacing w:val="1"/>
                <w:sz w:val="22"/>
                <w:szCs w:val="22"/>
              </w:rPr>
              <w:t>p</w:t>
            </w:r>
            <w:r w:rsidRPr="00054F6D">
              <w:rPr>
                <w:rFonts w:eastAsia="Calibri" w:cs="Arial"/>
                <w:sz w:val="22"/>
                <w:szCs w:val="22"/>
              </w:rPr>
              <w:t>ay</w:t>
            </w:r>
          </w:p>
        </w:tc>
        <w:tc>
          <w:tcPr>
            <w:tcW w:w="764" w:type="pct"/>
            <w:vAlign w:val="center"/>
            <w:hideMark/>
          </w:tcPr>
          <w:p w14:paraId="04D799D2" w14:textId="77777777" w:rsidR="00054F6D" w:rsidRPr="00054F6D" w:rsidRDefault="00054F6D" w:rsidP="00E25E2F">
            <w:pPr>
              <w:autoSpaceDE w:val="0"/>
              <w:autoSpaceDN w:val="0"/>
              <w:adjustRightInd w:val="0"/>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-5.72</w:t>
            </w:r>
          </w:p>
        </w:tc>
      </w:tr>
      <w:tr w:rsidR="00054F6D" w:rsidRPr="00054F6D" w14:paraId="562A823E" w14:textId="77777777" w:rsidTr="00E25E2F">
        <w:tc>
          <w:tcPr>
            <w:cnfStyle w:val="001000000000" w:firstRow="0" w:lastRow="0" w:firstColumn="1" w:lastColumn="0" w:oddVBand="0" w:evenVBand="0" w:oddHBand="0" w:evenHBand="0" w:firstRowFirstColumn="0" w:firstRowLastColumn="0" w:lastRowFirstColumn="0" w:lastRowLastColumn="0"/>
            <w:tcW w:w="4236" w:type="pct"/>
            <w:gridSpan w:val="4"/>
            <w:vAlign w:val="center"/>
          </w:tcPr>
          <w:p w14:paraId="7D983462" w14:textId="77777777" w:rsidR="00054F6D" w:rsidRPr="00054F6D" w:rsidRDefault="00054F6D" w:rsidP="00E25E2F">
            <w:pPr>
              <w:kinsoku w:val="0"/>
              <w:overflowPunct w:val="0"/>
              <w:autoSpaceDE w:val="0"/>
              <w:autoSpaceDN w:val="0"/>
              <w:adjustRightInd w:val="0"/>
              <w:spacing w:line="288" w:lineRule="auto"/>
              <w:rPr>
                <w:rFonts w:eastAsia="Calibri" w:cs="Times New Roman"/>
                <w:sz w:val="22"/>
                <w:szCs w:val="22"/>
              </w:rPr>
            </w:pPr>
            <w:r w:rsidRPr="00054F6D">
              <w:rPr>
                <w:rFonts w:eastAsia="Calibri" w:cs="Arial"/>
                <w:sz w:val="22"/>
                <w:szCs w:val="22"/>
              </w:rPr>
              <w:t>2.</w:t>
            </w:r>
            <w:r w:rsidRPr="00054F6D">
              <w:rPr>
                <w:rFonts w:eastAsia="Calibri" w:cs="Arial"/>
                <w:spacing w:val="-6"/>
                <w:sz w:val="22"/>
                <w:szCs w:val="22"/>
              </w:rPr>
              <w:t xml:space="preserve"> </w:t>
            </w:r>
            <w:r w:rsidRPr="00054F6D">
              <w:rPr>
                <w:rFonts w:eastAsia="Calibri" w:cs="Arial"/>
                <w:spacing w:val="-1"/>
                <w:sz w:val="22"/>
                <w:szCs w:val="22"/>
              </w:rPr>
              <w:t>M</w:t>
            </w:r>
            <w:r w:rsidRPr="00054F6D">
              <w:rPr>
                <w:rFonts w:eastAsia="Calibri" w:cs="Arial"/>
                <w:sz w:val="22"/>
                <w:szCs w:val="22"/>
              </w:rPr>
              <w:t>edi</w:t>
            </w:r>
            <w:r w:rsidRPr="00054F6D">
              <w:rPr>
                <w:rFonts w:eastAsia="Calibri" w:cs="Arial"/>
                <w:spacing w:val="-2"/>
                <w:sz w:val="22"/>
                <w:szCs w:val="22"/>
              </w:rPr>
              <w:t>a</w:t>
            </w:r>
            <w:r w:rsidRPr="00054F6D">
              <w:rPr>
                <w:rFonts w:eastAsia="Calibri" w:cs="Arial"/>
                <w:sz w:val="22"/>
                <w:szCs w:val="22"/>
              </w:rPr>
              <w:t>n</w:t>
            </w:r>
            <w:r w:rsidRPr="00054F6D">
              <w:rPr>
                <w:rFonts w:eastAsia="Calibri" w:cs="Arial"/>
                <w:spacing w:val="-6"/>
                <w:sz w:val="22"/>
                <w:szCs w:val="22"/>
              </w:rPr>
              <w:t xml:space="preserve"> </w:t>
            </w:r>
            <w:r w:rsidRPr="00054F6D">
              <w:rPr>
                <w:rFonts w:eastAsia="Calibri" w:cs="Arial"/>
                <w:spacing w:val="-1"/>
                <w:sz w:val="22"/>
                <w:szCs w:val="22"/>
              </w:rPr>
              <w:t>g</w:t>
            </w:r>
            <w:r w:rsidRPr="00054F6D">
              <w:rPr>
                <w:rFonts w:eastAsia="Calibri" w:cs="Arial"/>
                <w:sz w:val="22"/>
                <w:szCs w:val="22"/>
              </w:rPr>
              <w:t>e</w:t>
            </w:r>
            <w:r w:rsidRPr="00054F6D">
              <w:rPr>
                <w:rFonts w:eastAsia="Calibri" w:cs="Arial"/>
                <w:spacing w:val="-2"/>
                <w:sz w:val="22"/>
                <w:szCs w:val="22"/>
              </w:rPr>
              <w:t>n</w:t>
            </w:r>
            <w:r w:rsidRPr="00054F6D">
              <w:rPr>
                <w:rFonts w:eastAsia="Calibri" w:cs="Arial"/>
                <w:sz w:val="22"/>
                <w:szCs w:val="22"/>
              </w:rPr>
              <w:t>der</w:t>
            </w:r>
            <w:r w:rsidRPr="00054F6D">
              <w:rPr>
                <w:rFonts w:eastAsia="Calibri" w:cs="Arial"/>
                <w:spacing w:val="-6"/>
                <w:sz w:val="22"/>
                <w:szCs w:val="22"/>
              </w:rPr>
              <w:t xml:space="preserve"> </w:t>
            </w:r>
            <w:r w:rsidRPr="00054F6D">
              <w:rPr>
                <w:rFonts w:eastAsia="Calibri" w:cs="Arial"/>
                <w:spacing w:val="-2"/>
                <w:sz w:val="22"/>
                <w:szCs w:val="22"/>
              </w:rPr>
              <w:t>p</w:t>
            </w:r>
            <w:r w:rsidRPr="00054F6D">
              <w:rPr>
                <w:rFonts w:eastAsia="Calibri" w:cs="Arial"/>
                <w:sz w:val="22"/>
                <w:szCs w:val="22"/>
              </w:rPr>
              <w:t>ay</w:t>
            </w:r>
            <w:r w:rsidRPr="00054F6D">
              <w:rPr>
                <w:rFonts w:eastAsia="Calibri" w:cs="Arial"/>
                <w:spacing w:val="-9"/>
                <w:sz w:val="22"/>
                <w:szCs w:val="22"/>
              </w:rPr>
              <w:t xml:space="preserve"> </w:t>
            </w:r>
            <w:r w:rsidRPr="00054F6D">
              <w:rPr>
                <w:rFonts w:eastAsia="Calibri" w:cs="Arial"/>
                <w:spacing w:val="-1"/>
                <w:sz w:val="22"/>
                <w:szCs w:val="22"/>
              </w:rPr>
              <w:t>g</w:t>
            </w:r>
            <w:r w:rsidRPr="00054F6D">
              <w:rPr>
                <w:rFonts w:eastAsia="Calibri" w:cs="Arial"/>
                <w:sz w:val="22"/>
                <w:szCs w:val="22"/>
              </w:rPr>
              <w:t>ap</w:t>
            </w:r>
            <w:r w:rsidRPr="00054F6D">
              <w:rPr>
                <w:rFonts w:eastAsia="Calibri" w:cs="Arial"/>
                <w:spacing w:val="-2"/>
                <w:sz w:val="22"/>
                <w:szCs w:val="22"/>
              </w:rPr>
              <w:t xml:space="preserve"> </w:t>
            </w:r>
            <w:r w:rsidRPr="00054F6D">
              <w:rPr>
                <w:rFonts w:eastAsia="Calibri" w:cs="Arial"/>
                <w:sz w:val="22"/>
                <w:szCs w:val="22"/>
              </w:rPr>
              <w:t>-</w:t>
            </w:r>
            <w:r w:rsidRPr="00054F6D">
              <w:rPr>
                <w:rFonts w:eastAsia="Calibri" w:cs="Arial"/>
                <w:spacing w:val="-5"/>
                <w:sz w:val="22"/>
                <w:szCs w:val="22"/>
              </w:rPr>
              <w:t xml:space="preserve"> </w:t>
            </w:r>
            <w:r w:rsidRPr="00054F6D">
              <w:rPr>
                <w:rFonts w:eastAsia="Calibri" w:cs="Arial"/>
                <w:sz w:val="22"/>
                <w:szCs w:val="22"/>
              </w:rPr>
              <w:t>Ordin</w:t>
            </w:r>
            <w:r w:rsidRPr="00054F6D">
              <w:rPr>
                <w:rFonts w:eastAsia="Calibri" w:cs="Arial"/>
                <w:spacing w:val="1"/>
                <w:sz w:val="22"/>
                <w:szCs w:val="22"/>
              </w:rPr>
              <w:t>a</w:t>
            </w:r>
            <w:r w:rsidRPr="00054F6D">
              <w:rPr>
                <w:rFonts w:eastAsia="Calibri" w:cs="Arial"/>
                <w:sz w:val="22"/>
                <w:szCs w:val="22"/>
              </w:rPr>
              <w:t>ry</w:t>
            </w:r>
            <w:r w:rsidRPr="00054F6D">
              <w:rPr>
                <w:rFonts w:eastAsia="Calibri" w:cs="Arial"/>
                <w:spacing w:val="-10"/>
                <w:sz w:val="22"/>
                <w:szCs w:val="22"/>
              </w:rPr>
              <w:t xml:space="preserve"> </w:t>
            </w:r>
            <w:r w:rsidRPr="00054F6D">
              <w:rPr>
                <w:rFonts w:eastAsia="Calibri" w:cs="Arial"/>
                <w:spacing w:val="1"/>
                <w:sz w:val="22"/>
                <w:szCs w:val="22"/>
              </w:rPr>
              <w:t>p</w:t>
            </w:r>
            <w:r w:rsidRPr="00054F6D">
              <w:rPr>
                <w:rFonts w:eastAsia="Calibri" w:cs="Arial"/>
                <w:sz w:val="22"/>
                <w:szCs w:val="22"/>
              </w:rPr>
              <w:t>ay</w:t>
            </w:r>
          </w:p>
        </w:tc>
        <w:tc>
          <w:tcPr>
            <w:tcW w:w="764" w:type="pct"/>
            <w:vAlign w:val="center"/>
            <w:hideMark/>
          </w:tcPr>
          <w:p w14:paraId="531E8D95" w14:textId="77777777" w:rsidR="00054F6D" w:rsidRPr="00054F6D" w:rsidRDefault="00054F6D" w:rsidP="00E25E2F">
            <w:pPr>
              <w:autoSpaceDE w:val="0"/>
              <w:autoSpaceDN w:val="0"/>
              <w:adjustRightInd w:val="0"/>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-23.26</w:t>
            </w:r>
          </w:p>
        </w:tc>
      </w:tr>
      <w:tr w:rsidR="00054F6D" w:rsidRPr="00054F6D" w14:paraId="2C328A8B" w14:textId="77777777" w:rsidTr="00E25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pct"/>
            <w:gridSpan w:val="4"/>
            <w:vAlign w:val="center"/>
          </w:tcPr>
          <w:p w14:paraId="545D0840" w14:textId="04128F55" w:rsidR="00054F6D" w:rsidRPr="00EE7274" w:rsidRDefault="00054F6D" w:rsidP="00E25E2F">
            <w:pPr>
              <w:kinsoku w:val="0"/>
              <w:overflowPunct w:val="0"/>
              <w:autoSpaceDE w:val="0"/>
              <w:autoSpaceDN w:val="0"/>
              <w:adjustRightInd w:val="0"/>
              <w:spacing w:line="288" w:lineRule="auto"/>
              <w:rPr>
                <w:rFonts w:eastAsia="Calibri" w:cs="Arial"/>
                <w:sz w:val="22"/>
                <w:szCs w:val="22"/>
              </w:rPr>
            </w:pPr>
            <w:r w:rsidRPr="00054F6D">
              <w:rPr>
                <w:rFonts w:eastAsia="Calibri" w:cs="Arial"/>
                <w:sz w:val="22"/>
                <w:szCs w:val="22"/>
              </w:rPr>
              <w:t>3.</w:t>
            </w:r>
            <w:r w:rsidRPr="00054F6D">
              <w:rPr>
                <w:rFonts w:eastAsia="Calibri" w:cs="Arial"/>
                <w:spacing w:val="-5"/>
                <w:sz w:val="22"/>
                <w:szCs w:val="22"/>
              </w:rPr>
              <w:t xml:space="preserve"> </w:t>
            </w:r>
            <w:r w:rsidRPr="00054F6D">
              <w:rPr>
                <w:rFonts w:eastAsia="Calibri" w:cs="Arial"/>
                <w:spacing w:val="-1"/>
                <w:sz w:val="22"/>
                <w:szCs w:val="22"/>
              </w:rPr>
              <w:t>M</w:t>
            </w:r>
            <w:r w:rsidRPr="00054F6D">
              <w:rPr>
                <w:rFonts w:eastAsia="Calibri" w:cs="Arial"/>
                <w:sz w:val="22"/>
                <w:szCs w:val="22"/>
              </w:rPr>
              <w:t>e</w:t>
            </w:r>
            <w:r w:rsidRPr="00054F6D">
              <w:rPr>
                <w:rFonts w:eastAsia="Calibri" w:cs="Arial"/>
                <w:spacing w:val="-2"/>
                <w:sz w:val="22"/>
                <w:szCs w:val="22"/>
              </w:rPr>
              <w:t>a</w:t>
            </w:r>
            <w:r w:rsidRPr="00054F6D">
              <w:rPr>
                <w:rFonts w:eastAsia="Calibri" w:cs="Arial"/>
                <w:sz w:val="22"/>
                <w:szCs w:val="22"/>
              </w:rPr>
              <w:t>n</w:t>
            </w:r>
            <w:r w:rsidRPr="00054F6D">
              <w:rPr>
                <w:rFonts w:eastAsia="Calibri" w:cs="Arial"/>
                <w:spacing w:val="-3"/>
                <w:sz w:val="22"/>
                <w:szCs w:val="22"/>
              </w:rPr>
              <w:t xml:space="preserve"> </w:t>
            </w:r>
            <w:r w:rsidRPr="00054F6D">
              <w:rPr>
                <w:rFonts w:eastAsia="Calibri" w:cs="Arial"/>
                <w:spacing w:val="-2"/>
                <w:sz w:val="22"/>
                <w:szCs w:val="22"/>
              </w:rPr>
              <w:t>g</w:t>
            </w:r>
            <w:r w:rsidRPr="00054F6D">
              <w:rPr>
                <w:rFonts w:eastAsia="Calibri" w:cs="Arial"/>
                <w:sz w:val="22"/>
                <w:szCs w:val="22"/>
              </w:rPr>
              <w:t>en</w:t>
            </w:r>
            <w:r w:rsidRPr="00054F6D">
              <w:rPr>
                <w:rFonts w:eastAsia="Calibri" w:cs="Arial"/>
                <w:spacing w:val="-2"/>
                <w:sz w:val="22"/>
                <w:szCs w:val="22"/>
              </w:rPr>
              <w:t>d</w:t>
            </w:r>
            <w:r w:rsidRPr="00054F6D">
              <w:rPr>
                <w:rFonts w:eastAsia="Calibri" w:cs="Arial"/>
                <w:sz w:val="22"/>
                <w:szCs w:val="22"/>
              </w:rPr>
              <w:t>er</w:t>
            </w:r>
            <w:r w:rsidRPr="00054F6D">
              <w:rPr>
                <w:rFonts w:eastAsia="Calibri" w:cs="Arial"/>
                <w:spacing w:val="-6"/>
                <w:sz w:val="22"/>
                <w:szCs w:val="22"/>
              </w:rPr>
              <w:t xml:space="preserve"> </w:t>
            </w:r>
            <w:r w:rsidRPr="00054F6D">
              <w:rPr>
                <w:rFonts w:eastAsia="Calibri" w:cs="Arial"/>
                <w:sz w:val="22"/>
                <w:szCs w:val="22"/>
              </w:rPr>
              <w:t>pay</w:t>
            </w:r>
            <w:r w:rsidRPr="00054F6D">
              <w:rPr>
                <w:rFonts w:eastAsia="Calibri" w:cs="Arial"/>
                <w:spacing w:val="-8"/>
                <w:sz w:val="22"/>
                <w:szCs w:val="22"/>
              </w:rPr>
              <w:t xml:space="preserve"> </w:t>
            </w:r>
            <w:r w:rsidRPr="00054F6D">
              <w:rPr>
                <w:rFonts w:eastAsia="Calibri" w:cs="Arial"/>
                <w:spacing w:val="-1"/>
                <w:sz w:val="22"/>
                <w:szCs w:val="22"/>
              </w:rPr>
              <w:t>g</w:t>
            </w:r>
            <w:r w:rsidR="00EE7274">
              <w:rPr>
                <w:rFonts w:eastAsia="Calibri" w:cs="Arial"/>
                <w:sz w:val="22"/>
                <w:szCs w:val="22"/>
              </w:rPr>
              <w:t xml:space="preserve">ap </w:t>
            </w:r>
            <w:r w:rsidRPr="00054F6D">
              <w:rPr>
                <w:rFonts w:eastAsia="Calibri" w:cs="Arial"/>
                <w:sz w:val="22"/>
                <w:szCs w:val="22"/>
              </w:rPr>
              <w:t>-</w:t>
            </w:r>
            <w:r w:rsidRPr="00054F6D">
              <w:rPr>
                <w:rFonts w:eastAsia="Calibri" w:cs="Arial"/>
                <w:spacing w:val="-6"/>
                <w:sz w:val="22"/>
                <w:szCs w:val="22"/>
              </w:rPr>
              <w:t xml:space="preserve"> </w:t>
            </w:r>
            <w:r w:rsidRPr="00054F6D">
              <w:rPr>
                <w:rFonts w:eastAsia="Calibri" w:cs="Arial"/>
                <w:spacing w:val="-2"/>
                <w:sz w:val="22"/>
                <w:szCs w:val="22"/>
              </w:rPr>
              <w:t>B</w:t>
            </w:r>
            <w:r w:rsidRPr="00054F6D">
              <w:rPr>
                <w:rFonts w:eastAsia="Calibri" w:cs="Arial"/>
                <w:sz w:val="22"/>
                <w:szCs w:val="22"/>
              </w:rPr>
              <w:t>onus</w:t>
            </w:r>
            <w:r w:rsidRPr="00054F6D">
              <w:rPr>
                <w:rFonts w:eastAsia="Calibri" w:cs="Arial"/>
                <w:spacing w:val="-7"/>
                <w:sz w:val="22"/>
                <w:szCs w:val="22"/>
              </w:rPr>
              <w:t xml:space="preserve"> </w:t>
            </w:r>
            <w:r w:rsidRPr="00054F6D">
              <w:rPr>
                <w:rFonts w:eastAsia="Calibri" w:cs="Arial"/>
                <w:spacing w:val="1"/>
                <w:sz w:val="22"/>
                <w:szCs w:val="22"/>
              </w:rPr>
              <w:t>p</w:t>
            </w:r>
            <w:r w:rsidRPr="00054F6D">
              <w:rPr>
                <w:rFonts w:eastAsia="Calibri" w:cs="Arial"/>
                <w:sz w:val="22"/>
                <w:szCs w:val="22"/>
              </w:rPr>
              <w:t>ay</w:t>
            </w:r>
            <w:r w:rsidRPr="00054F6D">
              <w:rPr>
                <w:rFonts w:eastAsia="Calibri" w:cs="Arial"/>
                <w:spacing w:val="-8"/>
                <w:sz w:val="22"/>
                <w:szCs w:val="22"/>
              </w:rPr>
              <w:t xml:space="preserve"> </w:t>
            </w:r>
            <w:r w:rsidRPr="00054F6D">
              <w:rPr>
                <w:rFonts w:eastAsia="Calibri" w:cs="Arial"/>
                <w:sz w:val="22"/>
                <w:szCs w:val="22"/>
              </w:rPr>
              <w:t>in</w:t>
            </w:r>
            <w:r w:rsidRPr="00054F6D">
              <w:rPr>
                <w:rFonts w:eastAsia="Calibri" w:cs="Arial"/>
                <w:spacing w:val="-5"/>
                <w:sz w:val="22"/>
                <w:szCs w:val="22"/>
              </w:rPr>
              <w:t xml:space="preserve"> </w:t>
            </w:r>
            <w:r w:rsidRPr="00054F6D">
              <w:rPr>
                <w:rFonts w:eastAsia="Calibri" w:cs="Arial"/>
                <w:sz w:val="22"/>
                <w:szCs w:val="22"/>
              </w:rPr>
              <w:t>t</w:t>
            </w:r>
            <w:r w:rsidRPr="00054F6D">
              <w:rPr>
                <w:rFonts w:eastAsia="Calibri" w:cs="Arial"/>
                <w:spacing w:val="-2"/>
                <w:sz w:val="22"/>
                <w:szCs w:val="22"/>
              </w:rPr>
              <w:t>h</w:t>
            </w:r>
            <w:r w:rsidRPr="00054F6D">
              <w:rPr>
                <w:rFonts w:eastAsia="Calibri" w:cs="Arial"/>
                <w:sz w:val="22"/>
                <w:szCs w:val="22"/>
              </w:rPr>
              <w:t>e</w:t>
            </w:r>
            <w:r w:rsidRPr="00054F6D">
              <w:rPr>
                <w:rFonts w:eastAsia="Calibri" w:cs="Arial"/>
                <w:spacing w:val="-7"/>
                <w:sz w:val="22"/>
                <w:szCs w:val="22"/>
              </w:rPr>
              <w:t xml:space="preserve"> </w:t>
            </w:r>
            <w:r w:rsidRPr="00054F6D">
              <w:rPr>
                <w:rFonts w:eastAsia="Calibri" w:cs="Arial"/>
                <w:sz w:val="22"/>
                <w:szCs w:val="22"/>
              </w:rPr>
              <w:t>12</w:t>
            </w:r>
            <w:r w:rsidRPr="00054F6D">
              <w:rPr>
                <w:rFonts w:eastAsia="Calibri" w:cs="Arial"/>
                <w:spacing w:val="-6"/>
                <w:sz w:val="22"/>
                <w:szCs w:val="22"/>
              </w:rPr>
              <w:t xml:space="preserve"> </w:t>
            </w:r>
            <w:r w:rsidRPr="00054F6D">
              <w:rPr>
                <w:rFonts w:eastAsia="Calibri" w:cs="Arial"/>
                <w:spacing w:val="1"/>
                <w:sz w:val="22"/>
                <w:szCs w:val="22"/>
              </w:rPr>
              <w:t>m</w:t>
            </w:r>
            <w:r w:rsidRPr="00054F6D">
              <w:rPr>
                <w:rFonts w:eastAsia="Calibri" w:cs="Arial"/>
                <w:sz w:val="22"/>
                <w:szCs w:val="22"/>
              </w:rPr>
              <w:t>o</w:t>
            </w:r>
            <w:r w:rsidRPr="00054F6D">
              <w:rPr>
                <w:rFonts w:eastAsia="Calibri" w:cs="Arial"/>
                <w:spacing w:val="-2"/>
                <w:sz w:val="22"/>
                <w:szCs w:val="22"/>
              </w:rPr>
              <w:t>n</w:t>
            </w:r>
            <w:r w:rsidRPr="00054F6D">
              <w:rPr>
                <w:rFonts w:eastAsia="Calibri" w:cs="Arial"/>
                <w:sz w:val="22"/>
                <w:szCs w:val="22"/>
              </w:rPr>
              <w:t>t</w:t>
            </w:r>
            <w:r w:rsidRPr="00054F6D">
              <w:rPr>
                <w:rFonts w:eastAsia="Calibri" w:cs="Arial"/>
                <w:spacing w:val="1"/>
                <w:sz w:val="22"/>
                <w:szCs w:val="22"/>
              </w:rPr>
              <w:t>h</w:t>
            </w:r>
            <w:r w:rsidRPr="00054F6D">
              <w:rPr>
                <w:rFonts w:eastAsia="Calibri" w:cs="Arial"/>
                <w:sz w:val="22"/>
                <w:szCs w:val="22"/>
              </w:rPr>
              <w:t>s</w:t>
            </w:r>
            <w:r w:rsidRPr="00054F6D">
              <w:rPr>
                <w:rFonts w:eastAsia="Calibri" w:cs="Arial"/>
                <w:spacing w:val="-7"/>
                <w:sz w:val="22"/>
                <w:szCs w:val="22"/>
              </w:rPr>
              <w:t xml:space="preserve"> </w:t>
            </w:r>
            <w:r w:rsidRPr="00054F6D">
              <w:rPr>
                <w:rFonts w:eastAsia="Calibri" w:cs="Arial"/>
                <w:sz w:val="22"/>
                <w:szCs w:val="22"/>
              </w:rPr>
              <w:t>end</w:t>
            </w:r>
            <w:r w:rsidRPr="00054F6D">
              <w:rPr>
                <w:rFonts w:eastAsia="Calibri" w:cs="Arial"/>
                <w:spacing w:val="-3"/>
                <w:sz w:val="22"/>
                <w:szCs w:val="22"/>
              </w:rPr>
              <w:t>i</w:t>
            </w:r>
            <w:r w:rsidRPr="00054F6D">
              <w:rPr>
                <w:rFonts w:eastAsia="Calibri" w:cs="Arial"/>
                <w:sz w:val="22"/>
                <w:szCs w:val="22"/>
              </w:rPr>
              <w:t>ng</w:t>
            </w:r>
            <w:r w:rsidRPr="00054F6D">
              <w:rPr>
                <w:rFonts w:eastAsia="Calibri" w:cs="Arial"/>
                <w:spacing w:val="-7"/>
                <w:sz w:val="22"/>
                <w:szCs w:val="22"/>
              </w:rPr>
              <w:t xml:space="preserve"> </w:t>
            </w:r>
            <w:r w:rsidRPr="00054F6D">
              <w:rPr>
                <w:rFonts w:eastAsia="Calibri" w:cs="Arial"/>
                <w:spacing w:val="1"/>
                <w:sz w:val="22"/>
                <w:szCs w:val="22"/>
              </w:rPr>
              <w:t>3</w:t>
            </w:r>
            <w:r w:rsidRPr="00054F6D">
              <w:rPr>
                <w:rFonts w:eastAsia="Calibri" w:cs="Arial"/>
                <w:sz w:val="22"/>
                <w:szCs w:val="22"/>
              </w:rPr>
              <w:t>1</w:t>
            </w:r>
            <w:r w:rsidRPr="00054F6D">
              <w:rPr>
                <w:rFonts w:eastAsia="Calibri" w:cs="Arial"/>
                <w:spacing w:val="-7"/>
                <w:sz w:val="22"/>
                <w:szCs w:val="22"/>
              </w:rPr>
              <w:t xml:space="preserve"> </w:t>
            </w:r>
            <w:r w:rsidRPr="00054F6D">
              <w:rPr>
                <w:rFonts w:eastAsia="Calibri" w:cs="Arial"/>
                <w:spacing w:val="-1"/>
                <w:sz w:val="22"/>
                <w:szCs w:val="22"/>
              </w:rPr>
              <w:t>M</w:t>
            </w:r>
            <w:r w:rsidRPr="00054F6D">
              <w:rPr>
                <w:rFonts w:eastAsia="Calibri" w:cs="Arial"/>
                <w:sz w:val="22"/>
                <w:szCs w:val="22"/>
              </w:rPr>
              <w:t>arch</w:t>
            </w:r>
          </w:p>
        </w:tc>
        <w:tc>
          <w:tcPr>
            <w:tcW w:w="764" w:type="pct"/>
            <w:vAlign w:val="center"/>
            <w:hideMark/>
          </w:tcPr>
          <w:p w14:paraId="1012617C" w14:textId="77777777" w:rsidR="00054F6D" w:rsidRPr="00054F6D" w:rsidRDefault="00054F6D" w:rsidP="00E25E2F">
            <w:pPr>
              <w:autoSpaceDE w:val="0"/>
              <w:autoSpaceDN w:val="0"/>
              <w:adjustRightInd w:val="0"/>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0.0</w:t>
            </w:r>
          </w:p>
        </w:tc>
      </w:tr>
      <w:tr w:rsidR="00054F6D" w:rsidRPr="00054F6D" w14:paraId="1C0A5CAA" w14:textId="77777777" w:rsidTr="00E25E2F">
        <w:tc>
          <w:tcPr>
            <w:cnfStyle w:val="001000000000" w:firstRow="0" w:lastRow="0" w:firstColumn="1" w:lastColumn="0" w:oddVBand="0" w:evenVBand="0" w:oddHBand="0" w:evenHBand="0" w:firstRowFirstColumn="0" w:firstRowLastColumn="0" w:lastRowFirstColumn="0" w:lastRowLastColumn="0"/>
            <w:tcW w:w="4236" w:type="pct"/>
            <w:gridSpan w:val="4"/>
            <w:vAlign w:val="center"/>
          </w:tcPr>
          <w:p w14:paraId="5DE584CD" w14:textId="1CFE3DC9" w:rsidR="00054F6D" w:rsidRPr="00054F6D" w:rsidRDefault="00054F6D" w:rsidP="00E25E2F">
            <w:pPr>
              <w:kinsoku w:val="0"/>
              <w:overflowPunct w:val="0"/>
              <w:autoSpaceDE w:val="0"/>
              <w:autoSpaceDN w:val="0"/>
              <w:adjustRightInd w:val="0"/>
              <w:spacing w:line="288" w:lineRule="auto"/>
              <w:rPr>
                <w:rFonts w:eastAsia="Calibri" w:cs="Times New Roman"/>
                <w:sz w:val="22"/>
                <w:szCs w:val="22"/>
              </w:rPr>
            </w:pPr>
            <w:r w:rsidRPr="00054F6D">
              <w:rPr>
                <w:rFonts w:eastAsia="Calibri" w:cs="Arial"/>
                <w:sz w:val="22"/>
                <w:szCs w:val="22"/>
              </w:rPr>
              <w:t>4.</w:t>
            </w:r>
            <w:r w:rsidRPr="00054F6D">
              <w:rPr>
                <w:rFonts w:eastAsia="Calibri" w:cs="Arial"/>
                <w:spacing w:val="-5"/>
                <w:sz w:val="22"/>
                <w:szCs w:val="22"/>
              </w:rPr>
              <w:t xml:space="preserve"> </w:t>
            </w:r>
            <w:r w:rsidRPr="00054F6D">
              <w:rPr>
                <w:rFonts w:eastAsia="Calibri" w:cs="Arial"/>
                <w:spacing w:val="-1"/>
                <w:sz w:val="22"/>
                <w:szCs w:val="22"/>
              </w:rPr>
              <w:t>M</w:t>
            </w:r>
            <w:r w:rsidRPr="00054F6D">
              <w:rPr>
                <w:rFonts w:eastAsia="Calibri" w:cs="Arial"/>
                <w:sz w:val="22"/>
                <w:szCs w:val="22"/>
              </w:rPr>
              <w:t>edi</w:t>
            </w:r>
            <w:r w:rsidRPr="00054F6D">
              <w:rPr>
                <w:rFonts w:eastAsia="Calibri" w:cs="Arial"/>
                <w:spacing w:val="-2"/>
                <w:sz w:val="22"/>
                <w:szCs w:val="22"/>
              </w:rPr>
              <w:t>a</w:t>
            </w:r>
            <w:r w:rsidRPr="00054F6D">
              <w:rPr>
                <w:rFonts w:eastAsia="Calibri" w:cs="Arial"/>
                <w:sz w:val="22"/>
                <w:szCs w:val="22"/>
              </w:rPr>
              <w:t>n</w:t>
            </w:r>
            <w:r w:rsidRPr="00054F6D">
              <w:rPr>
                <w:rFonts w:eastAsia="Calibri" w:cs="Arial"/>
                <w:spacing w:val="-5"/>
                <w:sz w:val="22"/>
                <w:szCs w:val="22"/>
              </w:rPr>
              <w:t xml:space="preserve"> </w:t>
            </w:r>
            <w:r w:rsidRPr="00054F6D">
              <w:rPr>
                <w:rFonts w:eastAsia="Calibri" w:cs="Arial"/>
                <w:spacing w:val="-1"/>
                <w:sz w:val="22"/>
                <w:szCs w:val="22"/>
              </w:rPr>
              <w:t>g</w:t>
            </w:r>
            <w:r w:rsidRPr="00054F6D">
              <w:rPr>
                <w:rFonts w:eastAsia="Calibri" w:cs="Arial"/>
                <w:sz w:val="22"/>
                <w:szCs w:val="22"/>
              </w:rPr>
              <w:t>e</w:t>
            </w:r>
            <w:r w:rsidRPr="00054F6D">
              <w:rPr>
                <w:rFonts w:eastAsia="Calibri" w:cs="Arial"/>
                <w:spacing w:val="-2"/>
                <w:sz w:val="22"/>
                <w:szCs w:val="22"/>
              </w:rPr>
              <w:t>n</w:t>
            </w:r>
            <w:r w:rsidRPr="00054F6D">
              <w:rPr>
                <w:rFonts w:eastAsia="Calibri" w:cs="Arial"/>
                <w:sz w:val="22"/>
                <w:szCs w:val="22"/>
              </w:rPr>
              <w:t>der</w:t>
            </w:r>
            <w:r w:rsidRPr="00054F6D">
              <w:rPr>
                <w:rFonts w:eastAsia="Calibri" w:cs="Arial"/>
                <w:spacing w:val="-6"/>
                <w:sz w:val="22"/>
                <w:szCs w:val="22"/>
              </w:rPr>
              <w:t xml:space="preserve"> </w:t>
            </w:r>
            <w:r w:rsidRPr="00054F6D">
              <w:rPr>
                <w:rFonts w:eastAsia="Calibri" w:cs="Arial"/>
                <w:spacing w:val="-2"/>
                <w:sz w:val="22"/>
                <w:szCs w:val="22"/>
              </w:rPr>
              <w:t>p</w:t>
            </w:r>
            <w:r w:rsidRPr="00054F6D">
              <w:rPr>
                <w:rFonts w:eastAsia="Calibri" w:cs="Arial"/>
                <w:sz w:val="22"/>
                <w:szCs w:val="22"/>
              </w:rPr>
              <w:t>ay</w:t>
            </w:r>
            <w:r w:rsidRPr="00054F6D">
              <w:rPr>
                <w:rFonts w:eastAsia="Calibri" w:cs="Arial"/>
                <w:spacing w:val="-8"/>
                <w:sz w:val="22"/>
                <w:szCs w:val="22"/>
              </w:rPr>
              <w:t xml:space="preserve"> </w:t>
            </w:r>
            <w:r w:rsidRPr="00054F6D">
              <w:rPr>
                <w:rFonts w:eastAsia="Calibri" w:cs="Arial"/>
                <w:spacing w:val="-1"/>
                <w:sz w:val="22"/>
                <w:szCs w:val="22"/>
              </w:rPr>
              <w:t>g</w:t>
            </w:r>
            <w:r w:rsidRPr="00054F6D">
              <w:rPr>
                <w:rFonts w:eastAsia="Calibri" w:cs="Arial"/>
                <w:sz w:val="22"/>
                <w:szCs w:val="22"/>
              </w:rPr>
              <w:t>ap</w:t>
            </w:r>
            <w:r w:rsidRPr="00054F6D">
              <w:rPr>
                <w:rFonts w:eastAsia="Calibri" w:cs="Arial"/>
                <w:spacing w:val="-1"/>
                <w:sz w:val="22"/>
                <w:szCs w:val="22"/>
              </w:rPr>
              <w:t xml:space="preserve"> </w:t>
            </w:r>
            <w:r w:rsidRPr="00054F6D">
              <w:rPr>
                <w:rFonts w:eastAsia="Calibri" w:cs="Arial"/>
                <w:sz w:val="22"/>
                <w:szCs w:val="22"/>
              </w:rPr>
              <w:t>-</w:t>
            </w:r>
            <w:r w:rsidRPr="00054F6D">
              <w:rPr>
                <w:rFonts w:eastAsia="Calibri" w:cs="Arial"/>
                <w:spacing w:val="-5"/>
                <w:sz w:val="22"/>
                <w:szCs w:val="22"/>
              </w:rPr>
              <w:t xml:space="preserve"> </w:t>
            </w:r>
            <w:r w:rsidRPr="00054F6D">
              <w:rPr>
                <w:rFonts w:eastAsia="Calibri" w:cs="Arial"/>
                <w:sz w:val="22"/>
                <w:szCs w:val="22"/>
              </w:rPr>
              <w:t>Bo</w:t>
            </w:r>
            <w:r w:rsidRPr="00054F6D">
              <w:rPr>
                <w:rFonts w:eastAsia="Calibri" w:cs="Arial"/>
                <w:spacing w:val="-2"/>
                <w:sz w:val="22"/>
                <w:szCs w:val="22"/>
              </w:rPr>
              <w:t>n</w:t>
            </w:r>
            <w:r w:rsidRPr="00054F6D">
              <w:rPr>
                <w:rFonts w:eastAsia="Calibri" w:cs="Arial"/>
                <w:sz w:val="22"/>
                <w:szCs w:val="22"/>
              </w:rPr>
              <w:t>us</w:t>
            </w:r>
            <w:r w:rsidRPr="00054F6D">
              <w:rPr>
                <w:rFonts w:eastAsia="Calibri" w:cs="Arial"/>
                <w:spacing w:val="-6"/>
                <w:sz w:val="22"/>
                <w:szCs w:val="22"/>
              </w:rPr>
              <w:t xml:space="preserve"> </w:t>
            </w:r>
            <w:r w:rsidRPr="00054F6D">
              <w:rPr>
                <w:rFonts w:eastAsia="Calibri" w:cs="Arial"/>
                <w:spacing w:val="-1"/>
                <w:sz w:val="22"/>
                <w:szCs w:val="22"/>
              </w:rPr>
              <w:t>p</w:t>
            </w:r>
            <w:r w:rsidRPr="00054F6D">
              <w:rPr>
                <w:rFonts w:eastAsia="Calibri" w:cs="Arial"/>
                <w:sz w:val="22"/>
                <w:szCs w:val="22"/>
              </w:rPr>
              <w:t>ay</w:t>
            </w:r>
            <w:r w:rsidRPr="00054F6D">
              <w:rPr>
                <w:rFonts w:eastAsia="Calibri" w:cs="Arial"/>
                <w:spacing w:val="-8"/>
                <w:sz w:val="22"/>
                <w:szCs w:val="22"/>
              </w:rPr>
              <w:t xml:space="preserve"> </w:t>
            </w:r>
            <w:r w:rsidRPr="00054F6D">
              <w:rPr>
                <w:rFonts w:eastAsia="Calibri" w:cs="Arial"/>
                <w:sz w:val="22"/>
                <w:szCs w:val="22"/>
              </w:rPr>
              <w:t>in</w:t>
            </w:r>
            <w:r w:rsidRPr="00054F6D">
              <w:rPr>
                <w:rFonts w:eastAsia="Calibri" w:cs="Arial"/>
                <w:spacing w:val="-5"/>
                <w:sz w:val="22"/>
                <w:szCs w:val="22"/>
              </w:rPr>
              <w:t xml:space="preserve"> </w:t>
            </w:r>
            <w:r w:rsidRPr="00054F6D">
              <w:rPr>
                <w:rFonts w:eastAsia="Calibri" w:cs="Arial"/>
                <w:sz w:val="22"/>
                <w:szCs w:val="22"/>
              </w:rPr>
              <w:t>the</w:t>
            </w:r>
            <w:r w:rsidRPr="00054F6D">
              <w:rPr>
                <w:rFonts w:eastAsia="Calibri" w:cs="Arial"/>
                <w:spacing w:val="-7"/>
                <w:sz w:val="22"/>
                <w:szCs w:val="22"/>
              </w:rPr>
              <w:t xml:space="preserve"> </w:t>
            </w:r>
            <w:r w:rsidRPr="00054F6D">
              <w:rPr>
                <w:rFonts w:eastAsia="Calibri" w:cs="Arial"/>
                <w:spacing w:val="1"/>
                <w:sz w:val="22"/>
                <w:szCs w:val="22"/>
              </w:rPr>
              <w:t>1</w:t>
            </w:r>
            <w:r w:rsidRPr="00054F6D">
              <w:rPr>
                <w:rFonts w:eastAsia="Calibri" w:cs="Arial"/>
                <w:sz w:val="22"/>
                <w:szCs w:val="22"/>
              </w:rPr>
              <w:t>2</w:t>
            </w:r>
            <w:r w:rsidRPr="00054F6D">
              <w:rPr>
                <w:rFonts w:eastAsia="Calibri" w:cs="Arial"/>
                <w:spacing w:val="-7"/>
                <w:sz w:val="22"/>
                <w:szCs w:val="22"/>
              </w:rPr>
              <w:t xml:space="preserve"> </w:t>
            </w:r>
            <w:r w:rsidRPr="00054F6D">
              <w:rPr>
                <w:rFonts w:eastAsia="Calibri" w:cs="Arial"/>
                <w:spacing w:val="1"/>
                <w:sz w:val="22"/>
                <w:szCs w:val="22"/>
              </w:rPr>
              <w:t>m</w:t>
            </w:r>
            <w:r w:rsidRPr="00054F6D">
              <w:rPr>
                <w:rFonts w:eastAsia="Calibri" w:cs="Arial"/>
                <w:spacing w:val="-2"/>
                <w:sz w:val="22"/>
                <w:szCs w:val="22"/>
              </w:rPr>
              <w:t>o</w:t>
            </w:r>
            <w:r w:rsidRPr="00054F6D">
              <w:rPr>
                <w:rFonts w:eastAsia="Calibri" w:cs="Arial"/>
                <w:sz w:val="22"/>
                <w:szCs w:val="22"/>
              </w:rPr>
              <w:t>nt</w:t>
            </w:r>
            <w:r w:rsidRPr="00054F6D">
              <w:rPr>
                <w:rFonts w:eastAsia="Calibri" w:cs="Arial"/>
                <w:spacing w:val="1"/>
                <w:sz w:val="22"/>
                <w:szCs w:val="22"/>
              </w:rPr>
              <w:t>h</w:t>
            </w:r>
            <w:r w:rsidRPr="00054F6D">
              <w:rPr>
                <w:rFonts w:eastAsia="Calibri" w:cs="Arial"/>
                <w:sz w:val="22"/>
                <w:szCs w:val="22"/>
              </w:rPr>
              <w:t>s</w:t>
            </w:r>
            <w:r w:rsidRPr="00054F6D">
              <w:rPr>
                <w:rFonts w:eastAsia="Calibri" w:cs="Arial"/>
                <w:spacing w:val="-7"/>
                <w:sz w:val="22"/>
                <w:szCs w:val="22"/>
              </w:rPr>
              <w:t xml:space="preserve"> </w:t>
            </w:r>
            <w:r w:rsidRPr="00054F6D">
              <w:rPr>
                <w:rFonts w:eastAsia="Calibri" w:cs="Arial"/>
                <w:sz w:val="22"/>
                <w:szCs w:val="22"/>
              </w:rPr>
              <w:t>e</w:t>
            </w:r>
            <w:r w:rsidRPr="00054F6D">
              <w:rPr>
                <w:rFonts w:eastAsia="Calibri" w:cs="Arial"/>
                <w:spacing w:val="-2"/>
                <w:sz w:val="22"/>
                <w:szCs w:val="22"/>
              </w:rPr>
              <w:t>n</w:t>
            </w:r>
            <w:r w:rsidRPr="00054F6D">
              <w:rPr>
                <w:rFonts w:eastAsia="Calibri" w:cs="Arial"/>
                <w:sz w:val="22"/>
                <w:szCs w:val="22"/>
              </w:rPr>
              <w:t>ding</w:t>
            </w:r>
            <w:r w:rsidRPr="00054F6D">
              <w:rPr>
                <w:rFonts w:eastAsia="Calibri" w:cs="Arial"/>
                <w:spacing w:val="-6"/>
                <w:sz w:val="22"/>
                <w:szCs w:val="22"/>
              </w:rPr>
              <w:t xml:space="preserve"> </w:t>
            </w:r>
            <w:r w:rsidRPr="00054F6D">
              <w:rPr>
                <w:rFonts w:eastAsia="Calibri" w:cs="Arial"/>
                <w:spacing w:val="1"/>
                <w:sz w:val="22"/>
                <w:szCs w:val="22"/>
              </w:rPr>
              <w:t>3</w:t>
            </w:r>
            <w:r w:rsidRPr="00054F6D">
              <w:rPr>
                <w:rFonts w:eastAsia="Calibri" w:cs="Arial"/>
                <w:sz w:val="22"/>
                <w:szCs w:val="22"/>
              </w:rPr>
              <w:t>1</w:t>
            </w:r>
            <w:r w:rsidRPr="00054F6D">
              <w:rPr>
                <w:rFonts w:eastAsia="Calibri" w:cs="Arial"/>
                <w:spacing w:val="-6"/>
                <w:sz w:val="22"/>
                <w:szCs w:val="22"/>
              </w:rPr>
              <w:t xml:space="preserve"> </w:t>
            </w:r>
            <w:r w:rsidRPr="00054F6D">
              <w:rPr>
                <w:rFonts w:eastAsia="Calibri" w:cs="Arial"/>
                <w:spacing w:val="-1"/>
                <w:sz w:val="22"/>
                <w:szCs w:val="22"/>
              </w:rPr>
              <w:t>M</w:t>
            </w:r>
            <w:r w:rsidRPr="00054F6D">
              <w:rPr>
                <w:rFonts w:eastAsia="Calibri" w:cs="Arial"/>
                <w:sz w:val="22"/>
                <w:szCs w:val="22"/>
              </w:rPr>
              <w:t>arch</w:t>
            </w:r>
          </w:p>
        </w:tc>
        <w:tc>
          <w:tcPr>
            <w:tcW w:w="764" w:type="pct"/>
            <w:vAlign w:val="center"/>
            <w:hideMark/>
          </w:tcPr>
          <w:p w14:paraId="492498E5" w14:textId="77777777" w:rsidR="00054F6D" w:rsidRPr="00054F6D" w:rsidRDefault="00054F6D" w:rsidP="00E25E2F">
            <w:pPr>
              <w:autoSpaceDE w:val="0"/>
              <w:autoSpaceDN w:val="0"/>
              <w:adjustRightInd w:val="0"/>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0.0</w:t>
            </w:r>
          </w:p>
        </w:tc>
      </w:tr>
      <w:tr w:rsidR="00054F6D" w:rsidRPr="00054F6D" w14:paraId="3CD7D0CA" w14:textId="77777777" w:rsidTr="00E25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3" w:type="pct"/>
            <w:gridSpan w:val="3"/>
            <w:vMerge w:val="restart"/>
            <w:vAlign w:val="center"/>
          </w:tcPr>
          <w:p w14:paraId="72B00D72" w14:textId="77777777" w:rsidR="00054F6D" w:rsidRPr="00054F6D" w:rsidRDefault="00054F6D" w:rsidP="00E25E2F">
            <w:pPr>
              <w:kinsoku w:val="0"/>
              <w:overflowPunct w:val="0"/>
              <w:autoSpaceDE w:val="0"/>
              <w:autoSpaceDN w:val="0"/>
              <w:adjustRightInd w:val="0"/>
              <w:spacing w:line="288" w:lineRule="auto"/>
              <w:ind w:right="283"/>
              <w:rPr>
                <w:rFonts w:eastAsia="Calibri" w:cs="Times New Roman"/>
                <w:sz w:val="22"/>
                <w:szCs w:val="22"/>
              </w:rPr>
            </w:pPr>
            <w:r w:rsidRPr="00054F6D">
              <w:rPr>
                <w:rFonts w:eastAsia="Calibri" w:cs="Arial"/>
                <w:sz w:val="22"/>
                <w:szCs w:val="22"/>
              </w:rPr>
              <w:t>5</w:t>
            </w:r>
            <w:r w:rsidRPr="00054F6D">
              <w:rPr>
                <w:rFonts w:eastAsia="Calibri" w:cs="Arial"/>
                <w:spacing w:val="-2"/>
                <w:sz w:val="22"/>
                <w:szCs w:val="22"/>
              </w:rPr>
              <w:t>.</w:t>
            </w:r>
            <w:r w:rsidRPr="00054F6D">
              <w:rPr>
                <w:rFonts w:eastAsia="Calibri" w:cs="Arial"/>
                <w:spacing w:val="1"/>
                <w:sz w:val="22"/>
                <w:szCs w:val="22"/>
              </w:rPr>
              <w:t>T</w:t>
            </w:r>
            <w:r w:rsidRPr="00054F6D">
              <w:rPr>
                <w:rFonts w:eastAsia="Calibri" w:cs="Arial"/>
                <w:sz w:val="22"/>
                <w:szCs w:val="22"/>
              </w:rPr>
              <w:t>he</w:t>
            </w:r>
            <w:r w:rsidRPr="00054F6D">
              <w:rPr>
                <w:rFonts w:eastAsia="Calibri" w:cs="Arial"/>
                <w:spacing w:val="-9"/>
                <w:sz w:val="22"/>
                <w:szCs w:val="22"/>
              </w:rPr>
              <w:t xml:space="preserve"> </w:t>
            </w:r>
            <w:r w:rsidRPr="00054F6D">
              <w:rPr>
                <w:rFonts w:eastAsia="Calibri" w:cs="Arial"/>
                <w:sz w:val="22"/>
                <w:szCs w:val="22"/>
              </w:rPr>
              <w:t>pro</w:t>
            </w:r>
            <w:r w:rsidRPr="00054F6D">
              <w:rPr>
                <w:rFonts w:eastAsia="Calibri" w:cs="Arial"/>
                <w:spacing w:val="-2"/>
                <w:sz w:val="22"/>
                <w:szCs w:val="22"/>
              </w:rPr>
              <w:t>p</w:t>
            </w:r>
            <w:r w:rsidRPr="00054F6D">
              <w:rPr>
                <w:rFonts w:eastAsia="Calibri" w:cs="Arial"/>
                <w:sz w:val="22"/>
                <w:szCs w:val="22"/>
              </w:rPr>
              <w:t>ort</w:t>
            </w:r>
            <w:r w:rsidRPr="00054F6D">
              <w:rPr>
                <w:rFonts w:eastAsia="Calibri" w:cs="Arial"/>
                <w:spacing w:val="-1"/>
                <w:sz w:val="22"/>
                <w:szCs w:val="22"/>
              </w:rPr>
              <w:t>i</w:t>
            </w:r>
            <w:r w:rsidRPr="00054F6D">
              <w:rPr>
                <w:rFonts w:eastAsia="Calibri" w:cs="Arial"/>
                <w:sz w:val="22"/>
                <w:szCs w:val="22"/>
              </w:rPr>
              <w:t>on</w:t>
            </w:r>
            <w:r w:rsidRPr="00054F6D">
              <w:rPr>
                <w:rFonts w:eastAsia="Calibri" w:cs="Arial"/>
                <w:spacing w:val="-8"/>
                <w:sz w:val="22"/>
                <w:szCs w:val="22"/>
              </w:rPr>
              <w:t xml:space="preserve"> </w:t>
            </w:r>
            <w:r w:rsidRPr="00054F6D">
              <w:rPr>
                <w:rFonts w:eastAsia="Calibri" w:cs="Arial"/>
                <w:spacing w:val="-2"/>
                <w:sz w:val="22"/>
                <w:szCs w:val="22"/>
              </w:rPr>
              <w:t>o</w:t>
            </w:r>
            <w:r w:rsidRPr="00054F6D">
              <w:rPr>
                <w:rFonts w:eastAsia="Calibri" w:cs="Arial"/>
                <w:sz w:val="22"/>
                <w:szCs w:val="22"/>
              </w:rPr>
              <w:t>f</w:t>
            </w:r>
            <w:r w:rsidRPr="00054F6D">
              <w:rPr>
                <w:rFonts w:eastAsia="Calibri" w:cs="Arial"/>
                <w:spacing w:val="-6"/>
                <w:sz w:val="22"/>
                <w:szCs w:val="22"/>
              </w:rPr>
              <w:t xml:space="preserve"> </w:t>
            </w:r>
            <w:r w:rsidRPr="00054F6D">
              <w:rPr>
                <w:rFonts w:eastAsia="Calibri" w:cs="Arial"/>
                <w:spacing w:val="1"/>
                <w:sz w:val="22"/>
                <w:szCs w:val="22"/>
              </w:rPr>
              <w:t>m</w:t>
            </w:r>
            <w:r w:rsidRPr="00054F6D">
              <w:rPr>
                <w:rFonts w:eastAsia="Calibri" w:cs="Arial"/>
                <w:spacing w:val="-2"/>
                <w:sz w:val="22"/>
                <w:szCs w:val="22"/>
              </w:rPr>
              <w:t>a</w:t>
            </w:r>
            <w:r w:rsidRPr="00054F6D">
              <w:rPr>
                <w:rFonts w:eastAsia="Calibri" w:cs="Arial"/>
                <w:sz w:val="22"/>
                <w:szCs w:val="22"/>
              </w:rPr>
              <w:t>le</w:t>
            </w:r>
            <w:r w:rsidRPr="00054F6D">
              <w:rPr>
                <w:rFonts w:eastAsia="Calibri" w:cs="Arial"/>
                <w:spacing w:val="-6"/>
                <w:sz w:val="22"/>
                <w:szCs w:val="22"/>
              </w:rPr>
              <w:t xml:space="preserve"> </w:t>
            </w:r>
            <w:r w:rsidRPr="00054F6D">
              <w:rPr>
                <w:rFonts w:eastAsia="Calibri" w:cs="Arial"/>
                <w:sz w:val="22"/>
                <w:szCs w:val="22"/>
              </w:rPr>
              <w:t>a</w:t>
            </w:r>
            <w:r w:rsidRPr="00054F6D">
              <w:rPr>
                <w:rFonts w:eastAsia="Calibri" w:cs="Arial"/>
                <w:spacing w:val="-2"/>
                <w:sz w:val="22"/>
                <w:szCs w:val="22"/>
              </w:rPr>
              <w:t>n</w:t>
            </w:r>
            <w:r w:rsidRPr="00054F6D">
              <w:rPr>
                <w:rFonts w:eastAsia="Calibri" w:cs="Arial"/>
                <w:sz w:val="22"/>
                <w:szCs w:val="22"/>
              </w:rPr>
              <w:t>d</w:t>
            </w:r>
            <w:r w:rsidRPr="00054F6D">
              <w:rPr>
                <w:rFonts w:eastAsia="Calibri" w:cs="Arial"/>
                <w:spacing w:val="-8"/>
                <w:sz w:val="22"/>
                <w:szCs w:val="22"/>
              </w:rPr>
              <w:t xml:space="preserve"> </w:t>
            </w:r>
            <w:r w:rsidRPr="00054F6D">
              <w:rPr>
                <w:rFonts w:eastAsia="Calibri" w:cs="Arial"/>
                <w:spacing w:val="2"/>
                <w:sz w:val="22"/>
                <w:szCs w:val="22"/>
              </w:rPr>
              <w:t>f</w:t>
            </w:r>
            <w:r w:rsidRPr="00054F6D">
              <w:rPr>
                <w:rFonts w:eastAsia="Calibri" w:cs="Arial"/>
                <w:spacing w:val="-2"/>
                <w:sz w:val="22"/>
                <w:szCs w:val="22"/>
              </w:rPr>
              <w:t>e</w:t>
            </w:r>
            <w:r w:rsidRPr="00054F6D">
              <w:rPr>
                <w:rFonts w:eastAsia="Calibri" w:cs="Arial"/>
                <w:spacing w:val="1"/>
                <w:sz w:val="22"/>
                <w:szCs w:val="22"/>
              </w:rPr>
              <w:t>m</w:t>
            </w:r>
            <w:r w:rsidRPr="00054F6D">
              <w:rPr>
                <w:rFonts w:eastAsia="Calibri" w:cs="Arial"/>
                <w:sz w:val="22"/>
                <w:szCs w:val="22"/>
              </w:rPr>
              <w:t>a</w:t>
            </w:r>
            <w:r w:rsidRPr="00054F6D">
              <w:rPr>
                <w:rFonts w:eastAsia="Calibri" w:cs="Arial"/>
                <w:spacing w:val="-3"/>
                <w:sz w:val="22"/>
                <w:szCs w:val="22"/>
              </w:rPr>
              <w:t>l</w:t>
            </w:r>
            <w:r w:rsidRPr="00054F6D">
              <w:rPr>
                <w:rFonts w:eastAsia="Calibri" w:cs="Arial"/>
                <w:sz w:val="22"/>
                <w:szCs w:val="22"/>
              </w:rPr>
              <w:t>e</w:t>
            </w:r>
            <w:r w:rsidRPr="00054F6D">
              <w:rPr>
                <w:rFonts w:eastAsia="Calibri" w:cs="Arial"/>
                <w:spacing w:val="-6"/>
                <w:sz w:val="22"/>
                <w:szCs w:val="22"/>
              </w:rPr>
              <w:t xml:space="preserve"> </w:t>
            </w:r>
            <w:r w:rsidRPr="00054F6D">
              <w:rPr>
                <w:rFonts w:eastAsia="Calibri" w:cs="Arial"/>
                <w:spacing w:val="-1"/>
                <w:sz w:val="22"/>
                <w:szCs w:val="22"/>
              </w:rPr>
              <w:t>e</w:t>
            </w:r>
            <w:r w:rsidRPr="00054F6D">
              <w:rPr>
                <w:rFonts w:eastAsia="Calibri" w:cs="Arial"/>
                <w:spacing w:val="1"/>
                <w:sz w:val="22"/>
                <w:szCs w:val="22"/>
              </w:rPr>
              <w:t>m</w:t>
            </w:r>
            <w:r w:rsidRPr="00054F6D">
              <w:rPr>
                <w:rFonts w:eastAsia="Calibri" w:cs="Arial"/>
                <w:sz w:val="22"/>
                <w:szCs w:val="22"/>
              </w:rPr>
              <w:t>plo</w:t>
            </w:r>
            <w:r w:rsidRPr="00054F6D">
              <w:rPr>
                <w:rFonts w:eastAsia="Calibri" w:cs="Arial"/>
                <w:spacing w:val="-2"/>
                <w:sz w:val="22"/>
                <w:szCs w:val="22"/>
              </w:rPr>
              <w:t>ye</w:t>
            </w:r>
            <w:r w:rsidRPr="00054F6D">
              <w:rPr>
                <w:rFonts w:eastAsia="Calibri" w:cs="Arial"/>
                <w:sz w:val="22"/>
                <w:szCs w:val="22"/>
              </w:rPr>
              <w:t>es</w:t>
            </w:r>
            <w:r w:rsidRPr="00054F6D">
              <w:rPr>
                <w:rFonts w:eastAsia="Calibri" w:cs="Arial"/>
                <w:spacing w:val="-7"/>
                <w:sz w:val="22"/>
                <w:szCs w:val="22"/>
              </w:rPr>
              <w:t xml:space="preserve"> </w:t>
            </w:r>
            <w:r w:rsidRPr="00054F6D">
              <w:rPr>
                <w:rFonts w:eastAsia="Calibri" w:cs="Arial"/>
                <w:spacing w:val="1"/>
                <w:sz w:val="22"/>
                <w:szCs w:val="22"/>
              </w:rPr>
              <w:t>p</w:t>
            </w:r>
            <w:r w:rsidRPr="00054F6D">
              <w:rPr>
                <w:rFonts w:eastAsia="Calibri" w:cs="Arial"/>
                <w:sz w:val="22"/>
                <w:szCs w:val="22"/>
              </w:rPr>
              <w:t>a</w:t>
            </w:r>
            <w:r w:rsidRPr="00054F6D">
              <w:rPr>
                <w:rFonts w:eastAsia="Calibri" w:cs="Arial"/>
                <w:spacing w:val="-3"/>
                <w:sz w:val="22"/>
                <w:szCs w:val="22"/>
              </w:rPr>
              <w:t>i</w:t>
            </w:r>
            <w:r w:rsidRPr="00054F6D">
              <w:rPr>
                <w:rFonts w:eastAsia="Calibri" w:cs="Arial"/>
                <w:sz w:val="22"/>
                <w:szCs w:val="22"/>
              </w:rPr>
              <w:t>d</w:t>
            </w:r>
            <w:r w:rsidRPr="00054F6D">
              <w:rPr>
                <w:rFonts w:eastAsia="Calibri" w:cs="Arial"/>
                <w:spacing w:val="-6"/>
                <w:sz w:val="22"/>
                <w:szCs w:val="22"/>
              </w:rPr>
              <w:t xml:space="preserve"> </w:t>
            </w:r>
            <w:r w:rsidRPr="00054F6D">
              <w:rPr>
                <w:rFonts w:eastAsia="Calibri" w:cs="Arial"/>
                <w:sz w:val="22"/>
                <w:szCs w:val="22"/>
              </w:rPr>
              <w:t>a</w:t>
            </w:r>
            <w:r w:rsidRPr="00054F6D">
              <w:rPr>
                <w:rFonts w:eastAsia="Calibri" w:cs="Arial"/>
                <w:spacing w:val="-8"/>
                <w:sz w:val="22"/>
                <w:szCs w:val="22"/>
              </w:rPr>
              <w:t xml:space="preserve"> </w:t>
            </w:r>
            <w:r w:rsidRPr="00054F6D">
              <w:rPr>
                <w:rFonts w:eastAsia="Calibri" w:cs="Arial"/>
                <w:sz w:val="22"/>
                <w:szCs w:val="22"/>
              </w:rPr>
              <w:t>bo</w:t>
            </w:r>
            <w:r w:rsidRPr="00054F6D">
              <w:rPr>
                <w:rFonts w:eastAsia="Calibri" w:cs="Arial"/>
                <w:spacing w:val="-2"/>
                <w:sz w:val="22"/>
                <w:szCs w:val="22"/>
              </w:rPr>
              <w:t>n</w:t>
            </w:r>
            <w:r w:rsidRPr="00054F6D">
              <w:rPr>
                <w:rFonts w:eastAsia="Calibri" w:cs="Arial"/>
                <w:sz w:val="22"/>
                <w:szCs w:val="22"/>
              </w:rPr>
              <w:t>us</w:t>
            </w:r>
            <w:r w:rsidRPr="00054F6D">
              <w:rPr>
                <w:rFonts w:eastAsia="Calibri" w:cs="Arial"/>
                <w:spacing w:val="-7"/>
                <w:sz w:val="22"/>
                <w:szCs w:val="22"/>
              </w:rPr>
              <w:t xml:space="preserve"> </w:t>
            </w:r>
            <w:r w:rsidRPr="00054F6D">
              <w:rPr>
                <w:rFonts w:eastAsia="Calibri" w:cs="Arial"/>
                <w:sz w:val="22"/>
                <w:szCs w:val="22"/>
              </w:rPr>
              <w:t>in</w:t>
            </w:r>
            <w:r w:rsidRPr="00054F6D">
              <w:rPr>
                <w:rFonts w:eastAsia="Calibri" w:cs="Arial"/>
                <w:w w:val="99"/>
                <w:sz w:val="22"/>
                <w:szCs w:val="22"/>
              </w:rPr>
              <w:t xml:space="preserve"> </w:t>
            </w:r>
            <w:r w:rsidRPr="00054F6D">
              <w:rPr>
                <w:rFonts w:eastAsia="Calibri" w:cs="Arial"/>
                <w:sz w:val="22"/>
                <w:szCs w:val="22"/>
              </w:rPr>
              <w:t>t</w:t>
            </w:r>
            <w:r w:rsidRPr="00054F6D">
              <w:rPr>
                <w:rFonts w:eastAsia="Calibri" w:cs="Arial"/>
                <w:spacing w:val="1"/>
                <w:sz w:val="22"/>
                <w:szCs w:val="22"/>
              </w:rPr>
              <w:t>h</w:t>
            </w:r>
            <w:r w:rsidRPr="00054F6D">
              <w:rPr>
                <w:rFonts w:eastAsia="Calibri" w:cs="Arial"/>
                <w:sz w:val="22"/>
                <w:szCs w:val="22"/>
              </w:rPr>
              <w:t>e</w:t>
            </w:r>
            <w:r w:rsidRPr="00054F6D">
              <w:rPr>
                <w:rFonts w:eastAsia="Calibri" w:cs="Arial"/>
                <w:spacing w:val="-9"/>
                <w:sz w:val="22"/>
                <w:szCs w:val="22"/>
              </w:rPr>
              <w:t xml:space="preserve"> </w:t>
            </w:r>
            <w:r w:rsidRPr="00054F6D">
              <w:rPr>
                <w:rFonts w:eastAsia="Calibri" w:cs="Arial"/>
                <w:sz w:val="22"/>
                <w:szCs w:val="22"/>
              </w:rPr>
              <w:t>12</w:t>
            </w:r>
            <w:r w:rsidRPr="00054F6D">
              <w:rPr>
                <w:rFonts w:eastAsia="Calibri" w:cs="Arial"/>
                <w:spacing w:val="-8"/>
                <w:sz w:val="22"/>
                <w:szCs w:val="22"/>
              </w:rPr>
              <w:t xml:space="preserve"> </w:t>
            </w:r>
            <w:r w:rsidRPr="00054F6D">
              <w:rPr>
                <w:rFonts w:eastAsia="Calibri" w:cs="Arial"/>
                <w:spacing w:val="1"/>
                <w:sz w:val="22"/>
                <w:szCs w:val="22"/>
              </w:rPr>
              <w:t>m</w:t>
            </w:r>
            <w:r w:rsidRPr="00054F6D">
              <w:rPr>
                <w:rFonts w:eastAsia="Calibri" w:cs="Arial"/>
                <w:spacing w:val="-2"/>
                <w:sz w:val="22"/>
                <w:szCs w:val="22"/>
              </w:rPr>
              <w:t>o</w:t>
            </w:r>
            <w:r w:rsidRPr="00054F6D">
              <w:rPr>
                <w:rFonts w:eastAsia="Calibri" w:cs="Arial"/>
                <w:sz w:val="22"/>
                <w:szCs w:val="22"/>
              </w:rPr>
              <w:t>nt</w:t>
            </w:r>
            <w:r w:rsidRPr="00054F6D">
              <w:rPr>
                <w:rFonts w:eastAsia="Calibri" w:cs="Arial"/>
                <w:spacing w:val="1"/>
                <w:sz w:val="22"/>
                <w:szCs w:val="22"/>
              </w:rPr>
              <w:t>h</w:t>
            </w:r>
            <w:r w:rsidRPr="00054F6D">
              <w:rPr>
                <w:rFonts w:eastAsia="Calibri" w:cs="Arial"/>
                <w:sz w:val="22"/>
                <w:szCs w:val="22"/>
              </w:rPr>
              <w:t>s</w:t>
            </w:r>
            <w:r w:rsidRPr="00054F6D">
              <w:rPr>
                <w:rFonts w:eastAsia="Calibri" w:cs="Arial"/>
                <w:spacing w:val="-8"/>
                <w:sz w:val="22"/>
                <w:szCs w:val="22"/>
              </w:rPr>
              <w:t xml:space="preserve"> </w:t>
            </w:r>
            <w:r w:rsidRPr="00054F6D">
              <w:rPr>
                <w:rFonts w:eastAsia="Calibri" w:cs="Arial"/>
                <w:sz w:val="22"/>
                <w:szCs w:val="22"/>
              </w:rPr>
              <w:t>e</w:t>
            </w:r>
            <w:r w:rsidRPr="00054F6D">
              <w:rPr>
                <w:rFonts w:eastAsia="Calibri" w:cs="Arial"/>
                <w:spacing w:val="-2"/>
                <w:sz w:val="22"/>
                <w:szCs w:val="22"/>
              </w:rPr>
              <w:t>n</w:t>
            </w:r>
            <w:r w:rsidRPr="00054F6D">
              <w:rPr>
                <w:rFonts w:eastAsia="Calibri" w:cs="Arial"/>
                <w:sz w:val="22"/>
                <w:szCs w:val="22"/>
              </w:rPr>
              <w:t>ding</w:t>
            </w:r>
            <w:r w:rsidRPr="00054F6D">
              <w:rPr>
                <w:rFonts w:eastAsia="Calibri" w:cs="Arial"/>
                <w:spacing w:val="-7"/>
                <w:sz w:val="22"/>
                <w:szCs w:val="22"/>
              </w:rPr>
              <w:t xml:space="preserve"> </w:t>
            </w:r>
            <w:r w:rsidRPr="00054F6D">
              <w:rPr>
                <w:rFonts w:eastAsia="Calibri" w:cs="Arial"/>
                <w:spacing w:val="1"/>
                <w:sz w:val="22"/>
                <w:szCs w:val="22"/>
              </w:rPr>
              <w:t>3</w:t>
            </w:r>
            <w:r w:rsidRPr="00054F6D">
              <w:rPr>
                <w:rFonts w:eastAsia="Calibri" w:cs="Arial"/>
                <w:sz w:val="22"/>
                <w:szCs w:val="22"/>
              </w:rPr>
              <w:t>1</w:t>
            </w:r>
            <w:r w:rsidRPr="00054F6D">
              <w:rPr>
                <w:rFonts w:eastAsia="Calibri" w:cs="Arial"/>
                <w:spacing w:val="-7"/>
                <w:sz w:val="22"/>
                <w:szCs w:val="22"/>
              </w:rPr>
              <w:t xml:space="preserve"> </w:t>
            </w:r>
            <w:r w:rsidRPr="00054F6D">
              <w:rPr>
                <w:rFonts w:eastAsia="Calibri" w:cs="Arial"/>
                <w:sz w:val="22"/>
                <w:szCs w:val="22"/>
              </w:rPr>
              <w:t>March:</w:t>
            </w:r>
          </w:p>
        </w:tc>
        <w:tc>
          <w:tcPr>
            <w:tcW w:w="633" w:type="pct"/>
            <w:vAlign w:val="center"/>
          </w:tcPr>
          <w:p w14:paraId="243FDDF1" w14:textId="77777777" w:rsidR="00054F6D" w:rsidRPr="00054F6D" w:rsidRDefault="00054F6D" w:rsidP="00E25E2F">
            <w:pPr>
              <w:kinsoku w:val="0"/>
              <w:overflowPunct w:val="0"/>
              <w:autoSpaceDE w:val="0"/>
              <w:autoSpaceDN w:val="0"/>
              <w:adjustRightInd w:val="0"/>
              <w:spacing w:line="288" w:lineRule="auto"/>
              <w:ind w:left="102"/>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054F6D">
              <w:rPr>
                <w:rFonts w:eastAsia="Calibri" w:cs="Arial"/>
                <w:spacing w:val="-1"/>
                <w:sz w:val="22"/>
                <w:szCs w:val="22"/>
              </w:rPr>
              <w:t>M</w:t>
            </w:r>
            <w:r w:rsidRPr="00054F6D">
              <w:rPr>
                <w:rFonts w:eastAsia="Calibri" w:cs="Arial"/>
                <w:sz w:val="22"/>
                <w:szCs w:val="22"/>
              </w:rPr>
              <w:t>ale</w:t>
            </w:r>
          </w:p>
        </w:tc>
        <w:tc>
          <w:tcPr>
            <w:tcW w:w="764" w:type="pct"/>
            <w:vAlign w:val="center"/>
            <w:hideMark/>
          </w:tcPr>
          <w:p w14:paraId="41322C3C" w14:textId="77777777" w:rsidR="00054F6D" w:rsidRPr="00054F6D" w:rsidRDefault="00054F6D" w:rsidP="00E25E2F">
            <w:pPr>
              <w:autoSpaceDE w:val="0"/>
              <w:autoSpaceDN w:val="0"/>
              <w:adjustRightInd w:val="0"/>
              <w:spacing w:line="288"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0.0</w:t>
            </w:r>
          </w:p>
        </w:tc>
      </w:tr>
      <w:tr w:rsidR="00054F6D" w:rsidRPr="00054F6D" w14:paraId="2D32A877" w14:textId="77777777" w:rsidTr="00E25E2F">
        <w:tc>
          <w:tcPr>
            <w:cnfStyle w:val="001000000000" w:firstRow="0" w:lastRow="0" w:firstColumn="1" w:lastColumn="0" w:oddVBand="0" w:evenVBand="0" w:oddHBand="0" w:evenHBand="0" w:firstRowFirstColumn="0" w:firstRowLastColumn="0" w:lastRowFirstColumn="0" w:lastRowLastColumn="0"/>
            <w:tcW w:w="0" w:type="auto"/>
            <w:gridSpan w:val="3"/>
            <w:vMerge/>
            <w:vAlign w:val="center"/>
            <w:hideMark/>
          </w:tcPr>
          <w:p w14:paraId="3E71AACD" w14:textId="77777777" w:rsidR="00054F6D" w:rsidRPr="00054F6D" w:rsidRDefault="00054F6D" w:rsidP="00E25E2F">
            <w:pPr>
              <w:spacing w:line="288" w:lineRule="auto"/>
              <w:rPr>
                <w:rFonts w:eastAsia="Calibri" w:cs="Times New Roman"/>
                <w:sz w:val="22"/>
                <w:szCs w:val="22"/>
              </w:rPr>
            </w:pPr>
          </w:p>
        </w:tc>
        <w:tc>
          <w:tcPr>
            <w:tcW w:w="633" w:type="pct"/>
            <w:vAlign w:val="center"/>
          </w:tcPr>
          <w:p w14:paraId="39C0CE14" w14:textId="77777777" w:rsidR="00054F6D" w:rsidRPr="00054F6D" w:rsidRDefault="00054F6D" w:rsidP="00E25E2F">
            <w:pPr>
              <w:kinsoku w:val="0"/>
              <w:overflowPunct w:val="0"/>
              <w:autoSpaceDE w:val="0"/>
              <w:autoSpaceDN w:val="0"/>
              <w:adjustRightInd w:val="0"/>
              <w:spacing w:line="288" w:lineRule="auto"/>
              <w:ind w:left="102"/>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054F6D">
              <w:rPr>
                <w:rFonts w:eastAsia="Calibri" w:cs="Arial"/>
                <w:sz w:val="22"/>
                <w:szCs w:val="22"/>
              </w:rPr>
              <w:t>Fe</w:t>
            </w:r>
            <w:r w:rsidRPr="00054F6D">
              <w:rPr>
                <w:rFonts w:eastAsia="Calibri" w:cs="Arial"/>
                <w:spacing w:val="1"/>
                <w:sz w:val="22"/>
                <w:szCs w:val="22"/>
              </w:rPr>
              <w:t>m</w:t>
            </w:r>
            <w:r w:rsidRPr="00054F6D">
              <w:rPr>
                <w:rFonts w:eastAsia="Calibri" w:cs="Arial"/>
                <w:sz w:val="22"/>
                <w:szCs w:val="22"/>
              </w:rPr>
              <w:t>a</w:t>
            </w:r>
            <w:r w:rsidRPr="00054F6D">
              <w:rPr>
                <w:rFonts w:eastAsia="Calibri" w:cs="Arial"/>
                <w:spacing w:val="-3"/>
                <w:sz w:val="22"/>
                <w:szCs w:val="22"/>
              </w:rPr>
              <w:t>l</w:t>
            </w:r>
            <w:r w:rsidRPr="00054F6D">
              <w:rPr>
                <w:rFonts w:eastAsia="Calibri" w:cs="Arial"/>
                <w:sz w:val="22"/>
                <w:szCs w:val="22"/>
              </w:rPr>
              <w:t>e</w:t>
            </w:r>
          </w:p>
        </w:tc>
        <w:tc>
          <w:tcPr>
            <w:tcW w:w="764" w:type="pct"/>
            <w:vAlign w:val="center"/>
            <w:hideMark/>
          </w:tcPr>
          <w:p w14:paraId="34AEB3C0" w14:textId="77777777" w:rsidR="00054F6D" w:rsidRPr="00054F6D" w:rsidRDefault="00054F6D" w:rsidP="00E25E2F">
            <w:pPr>
              <w:autoSpaceDE w:val="0"/>
              <w:autoSpaceDN w:val="0"/>
              <w:adjustRightInd w:val="0"/>
              <w:spacing w:line="288"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0.0</w:t>
            </w:r>
          </w:p>
        </w:tc>
      </w:tr>
      <w:tr w:rsidR="00054F6D" w:rsidRPr="00054F6D" w14:paraId="7F39499D" w14:textId="77777777" w:rsidTr="00E25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3A202BB3" w14:textId="77777777" w:rsidR="00054F6D" w:rsidRPr="00054F6D" w:rsidRDefault="00054F6D" w:rsidP="00E25E2F">
            <w:pPr>
              <w:kinsoku w:val="0"/>
              <w:overflowPunct w:val="0"/>
              <w:autoSpaceDE w:val="0"/>
              <w:autoSpaceDN w:val="0"/>
              <w:adjustRightInd w:val="0"/>
              <w:spacing w:line="288" w:lineRule="auto"/>
              <w:rPr>
                <w:rFonts w:eastAsia="Calibri" w:cs="Times New Roman"/>
                <w:sz w:val="22"/>
                <w:szCs w:val="22"/>
              </w:rPr>
            </w:pPr>
            <w:r w:rsidRPr="00054F6D">
              <w:rPr>
                <w:rFonts w:eastAsia="Calibri" w:cs="Arial"/>
                <w:sz w:val="22"/>
                <w:szCs w:val="22"/>
              </w:rPr>
              <w:t>6.</w:t>
            </w:r>
            <w:r w:rsidRPr="00054F6D">
              <w:rPr>
                <w:rFonts w:eastAsia="Calibri" w:cs="Arial"/>
                <w:spacing w:val="-6"/>
                <w:sz w:val="22"/>
                <w:szCs w:val="22"/>
              </w:rPr>
              <w:t xml:space="preserve"> </w:t>
            </w:r>
            <w:r w:rsidRPr="00054F6D">
              <w:rPr>
                <w:rFonts w:eastAsia="Calibri" w:cs="Arial"/>
                <w:sz w:val="22"/>
                <w:szCs w:val="22"/>
              </w:rPr>
              <w:t>Pr</w:t>
            </w:r>
            <w:r w:rsidRPr="00054F6D">
              <w:rPr>
                <w:rFonts w:eastAsia="Calibri" w:cs="Arial"/>
                <w:spacing w:val="-3"/>
                <w:sz w:val="22"/>
                <w:szCs w:val="22"/>
              </w:rPr>
              <w:t>o</w:t>
            </w:r>
            <w:r w:rsidRPr="00054F6D">
              <w:rPr>
                <w:rFonts w:eastAsia="Calibri" w:cs="Arial"/>
                <w:sz w:val="22"/>
                <w:szCs w:val="22"/>
              </w:rPr>
              <w:t>port</w:t>
            </w:r>
            <w:r w:rsidRPr="00054F6D">
              <w:rPr>
                <w:rFonts w:eastAsia="Calibri" w:cs="Arial"/>
                <w:spacing w:val="-1"/>
                <w:sz w:val="22"/>
                <w:szCs w:val="22"/>
              </w:rPr>
              <w:t>i</w:t>
            </w:r>
            <w:r w:rsidRPr="00054F6D">
              <w:rPr>
                <w:rFonts w:eastAsia="Calibri" w:cs="Arial"/>
                <w:sz w:val="22"/>
                <w:szCs w:val="22"/>
              </w:rPr>
              <w:t>on</w:t>
            </w:r>
            <w:r w:rsidRPr="00054F6D">
              <w:rPr>
                <w:rFonts w:eastAsia="Calibri" w:cs="Arial"/>
                <w:spacing w:val="-9"/>
                <w:sz w:val="22"/>
                <w:szCs w:val="22"/>
              </w:rPr>
              <w:t xml:space="preserve"> </w:t>
            </w:r>
            <w:r w:rsidRPr="00054F6D">
              <w:rPr>
                <w:rFonts w:eastAsia="Calibri" w:cs="Arial"/>
                <w:spacing w:val="-1"/>
                <w:sz w:val="22"/>
                <w:szCs w:val="22"/>
              </w:rPr>
              <w:t>o</w:t>
            </w:r>
            <w:r w:rsidRPr="00054F6D">
              <w:rPr>
                <w:rFonts w:eastAsia="Calibri" w:cs="Arial"/>
                <w:sz w:val="22"/>
                <w:szCs w:val="22"/>
              </w:rPr>
              <w:t>f</w:t>
            </w:r>
            <w:r w:rsidRPr="00054F6D">
              <w:rPr>
                <w:rFonts w:eastAsia="Calibri" w:cs="Arial"/>
                <w:spacing w:val="-6"/>
                <w:sz w:val="22"/>
                <w:szCs w:val="22"/>
              </w:rPr>
              <w:t xml:space="preserve"> </w:t>
            </w:r>
            <w:r w:rsidRPr="00054F6D">
              <w:rPr>
                <w:rFonts w:eastAsia="Calibri" w:cs="Arial"/>
                <w:spacing w:val="1"/>
                <w:sz w:val="22"/>
                <w:szCs w:val="22"/>
              </w:rPr>
              <w:t>m</w:t>
            </w:r>
            <w:r w:rsidRPr="00054F6D">
              <w:rPr>
                <w:rFonts w:eastAsia="Calibri" w:cs="Arial"/>
                <w:sz w:val="22"/>
                <w:szCs w:val="22"/>
              </w:rPr>
              <w:t>a</w:t>
            </w:r>
            <w:r w:rsidRPr="00054F6D">
              <w:rPr>
                <w:rFonts w:eastAsia="Calibri" w:cs="Arial"/>
                <w:spacing w:val="-3"/>
                <w:sz w:val="22"/>
                <w:szCs w:val="22"/>
              </w:rPr>
              <w:t>l</w:t>
            </w:r>
            <w:r w:rsidRPr="00054F6D">
              <w:rPr>
                <w:rFonts w:eastAsia="Calibri" w:cs="Arial"/>
                <w:sz w:val="22"/>
                <w:szCs w:val="22"/>
              </w:rPr>
              <w:t>e</w:t>
            </w:r>
            <w:r w:rsidRPr="00054F6D">
              <w:rPr>
                <w:rFonts w:eastAsia="Calibri" w:cs="Arial"/>
                <w:spacing w:val="-7"/>
                <w:sz w:val="22"/>
                <w:szCs w:val="22"/>
              </w:rPr>
              <w:t xml:space="preserve"> </w:t>
            </w:r>
            <w:r w:rsidRPr="00054F6D">
              <w:rPr>
                <w:rFonts w:eastAsia="Calibri" w:cs="Arial"/>
                <w:spacing w:val="-1"/>
                <w:sz w:val="22"/>
                <w:szCs w:val="22"/>
              </w:rPr>
              <w:t>a</w:t>
            </w:r>
            <w:r w:rsidRPr="00054F6D">
              <w:rPr>
                <w:rFonts w:eastAsia="Calibri" w:cs="Arial"/>
                <w:sz w:val="22"/>
                <w:szCs w:val="22"/>
              </w:rPr>
              <w:t>nd</w:t>
            </w:r>
            <w:r w:rsidRPr="00054F6D">
              <w:rPr>
                <w:rFonts w:eastAsia="Calibri" w:cs="Arial"/>
                <w:spacing w:val="-8"/>
                <w:sz w:val="22"/>
                <w:szCs w:val="22"/>
              </w:rPr>
              <w:t xml:space="preserve"> </w:t>
            </w:r>
            <w:r w:rsidRPr="00054F6D">
              <w:rPr>
                <w:rFonts w:eastAsia="Calibri" w:cs="Arial"/>
                <w:sz w:val="22"/>
                <w:szCs w:val="22"/>
              </w:rPr>
              <w:t>f</w:t>
            </w:r>
            <w:r w:rsidRPr="00054F6D">
              <w:rPr>
                <w:rFonts w:eastAsia="Calibri" w:cs="Arial"/>
                <w:spacing w:val="1"/>
                <w:sz w:val="22"/>
                <w:szCs w:val="22"/>
              </w:rPr>
              <w:t>e</w:t>
            </w:r>
            <w:r w:rsidRPr="00054F6D">
              <w:rPr>
                <w:rFonts w:eastAsia="Calibri" w:cs="Arial"/>
                <w:spacing w:val="2"/>
                <w:sz w:val="22"/>
                <w:szCs w:val="22"/>
              </w:rPr>
              <w:t>m</w:t>
            </w:r>
            <w:r w:rsidRPr="00054F6D">
              <w:rPr>
                <w:rFonts w:eastAsia="Calibri" w:cs="Arial"/>
                <w:sz w:val="22"/>
                <w:szCs w:val="22"/>
              </w:rPr>
              <w:t>ale</w:t>
            </w:r>
            <w:r w:rsidRPr="00054F6D">
              <w:rPr>
                <w:rFonts w:eastAsia="Calibri" w:cs="Arial"/>
                <w:spacing w:val="-7"/>
                <w:sz w:val="22"/>
                <w:szCs w:val="22"/>
              </w:rPr>
              <w:t xml:space="preserve"> </w:t>
            </w:r>
            <w:r w:rsidRPr="00054F6D">
              <w:rPr>
                <w:rFonts w:eastAsia="Calibri" w:cs="Arial"/>
                <w:spacing w:val="-2"/>
                <w:sz w:val="22"/>
                <w:szCs w:val="22"/>
              </w:rPr>
              <w:t>e</w:t>
            </w:r>
            <w:r w:rsidRPr="00054F6D">
              <w:rPr>
                <w:rFonts w:eastAsia="Calibri" w:cs="Arial"/>
                <w:spacing w:val="1"/>
                <w:sz w:val="22"/>
                <w:szCs w:val="22"/>
              </w:rPr>
              <w:t>m</w:t>
            </w:r>
            <w:r w:rsidRPr="00054F6D">
              <w:rPr>
                <w:rFonts w:eastAsia="Calibri" w:cs="Arial"/>
                <w:sz w:val="22"/>
                <w:szCs w:val="22"/>
              </w:rPr>
              <w:t>p</w:t>
            </w:r>
            <w:r w:rsidRPr="00054F6D">
              <w:rPr>
                <w:rFonts w:eastAsia="Calibri" w:cs="Arial"/>
                <w:spacing w:val="-3"/>
                <w:sz w:val="22"/>
                <w:szCs w:val="22"/>
              </w:rPr>
              <w:t>l</w:t>
            </w:r>
            <w:r w:rsidRPr="00054F6D">
              <w:rPr>
                <w:rFonts w:eastAsia="Calibri" w:cs="Arial"/>
                <w:sz w:val="22"/>
                <w:szCs w:val="22"/>
              </w:rPr>
              <w:t>o</w:t>
            </w:r>
            <w:r w:rsidRPr="00054F6D">
              <w:rPr>
                <w:rFonts w:eastAsia="Calibri" w:cs="Arial"/>
                <w:spacing w:val="-3"/>
                <w:sz w:val="22"/>
                <w:szCs w:val="22"/>
              </w:rPr>
              <w:t>y</w:t>
            </w:r>
            <w:r w:rsidRPr="00054F6D">
              <w:rPr>
                <w:rFonts w:eastAsia="Calibri" w:cs="Arial"/>
                <w:sz w:val="22"/>
                <w:szCs w:val="22"/>
              </w:rPr>
              <w:t>ees</w:t>
            </w:r>
            <w:r w:rsidRPr="00054F6D">
              <w:rPr>
                <w:rFonts w:eastAsia="Calibri" w:cs="Arial"/>
                <w:spacing w:val="-7"/>
                <w:sz w:val="22"/>
                <w:szCs w:val="22"/>
              </w:rPr>
              <w:t xml:space="preserve"> </w:t>
            </w:r>
            <w:r w:rsidRPr="00054F6D">
              <w:rPr>
                <w:rFonts w:eastAsia="Calibri" w:cs="Arial"/>
                <w:sz w:val="22"/>
                <w:szCs w:val="22"/>
              </w:rPr>
              <w:t>in</w:t>
            </w:r>
            <w:r w:rsidRPr="00054F6D">
              <w:rPr>
                <w:rFonts w:eastAsia="Calibri" w:cs="Arial"/>
                <w:spacing w:val="-7"/>
                <w:sz w:val="22"/>
                <w:szCs w:val="22"/>
              </w:rPr>
              <w:t xml:space="preserve"> </w:t>
            </w:r>
            <w:r w:rsidRPr="00054F6D">
              <w:rPr>
                <w:rFonts w:eastAsia="Calibri" w:cs="Arial"/>
                <w:spacing w:val="1"/>
                <w:sz w:val="22"/>
                <w:szCs w:val="22"/>
              </w:rPr>
              <w:t>e</w:t>
            </w:r>
            <w:r w:rsidRPr="00054F6D">
              <w:rPr>
                <w:rFonts w:eastAsia="Calibri" w:cs="Arial"/>
                <w:sz w:val="22"/>
                <w:szCs w:val="22"/>
              </w:rPr>
              <w:t>a</w:t>
            </w:r>
            <w:r w:rsidRPr="00054F6D">
              <w:rPr>
                <w:rFonts w:eastAsia="Calibri" w:cs="Arial"/>
                <w:spacing w:val="-3"/>
                <w:sz w:val="22"/>
                <w:szCs w:val="22"/>
              </w:rPr>
              <w:t>c</w:t>
            </w:r>
            <w:r w:rsidRPr="00054F6D">
              <w:rPr>
                <w:rFonts w:eastAsia="Calibri" w:cs="Arial"/>
                <w:sz w:val="22"/>
                <w:szCs w:val="22"/>
              </w:rPr>
              <w:t>h</w:t>
            </w:r>
            <w:r w:rsidRPr="00054F6D">
              <w:rPr>
                <w:rFonts w:eastAsia="Calibri" w:cs="Arial"/>
                <w:spacing w:val="-6"/>
                <w:sz w:val="22"/>
                <w:szCs w:val="22"/>
              </w:rPr>
              <w:t xml:space="preserve"> </w:t>
            </w:r>
            <w:r w:rsidRPr="00054F6D">
              <w:rPr>
                <w:rFonts w:eastAsia="Calibri" w:cs="Arial"/>
                <w:spacing w:val="-1"/>
                <w:sz w:val="22"/>
                <w:szCs w:val="22"/>
              </w:rPr>
              <w:t>q</w:t>
            </w:r>
            <w:r w:rsidRPr="00054F6D">
              <w:rPr>
                <w:rFonts w:eastAsia="Calibri" w:cs="Arial"/>
                <w:sz w:val="22"/>
                <w:szCs w:val="22"/>
              </w:rPr>
              <w:t>uart</w:t>
            </w:r>
            <w:r w:rsidRPr="00054F6D">
              <w:rPr>
                <w:rFonts w:eastAsia="Calibri" w:cs="Arial"/>
                <w:spacing w:val="-1"/>
                <w:sz w:val="22"/>
                <w:szCs w:val="22"/>
              </w:rPr>
              <w:t>i</w:t>
            </w:r>
            <w:r w:rsidRPr="00054F6D">
              <w:rPr>
                <w:rFonts w:eastAsia="Calibri" w:cs="Arial"/>
                <w:sz w:val="22"/>
                <w:szCs w:val="22"/>
              </w:rPr>
              <w:t>le</w:t>
            </w:r>
            <w:r w:rsidRPr="00054F6D">
              <w:rPr>
                <w:rFonts w:eastAsia="Calibri" w:cs="Arial"/>
                <w:sz w:val="22"/>
                <w:szCs w:val="22"/>
                <w:vertAlign w:val="superscript"/>
              </w:rPr>
              <w:footnoteReference w:id="7"/>
            </w:r>
            <w:r w:rsidRPr="00054F6D">
              <w:rPr>
                <w:rFonts w:eastAsia="Calibri" w:cs="Arial"/>
                <w:sz w:val="22"/>
                <w:szCs w:val="22"/>
              </w:rPr>
              <w:t>.</w:t>
            </w:r>
          </w:p>
        </w:tc>
      </w:tr>
      <w:tr w:rsidR="00E25E2F" w:rsidRPr="00054F6D" w14:paraId="444157D0" w14:textId="77777777" w:rsidTr="00E25E2F">
        <w:tc>
          <w:tcPr>
            <w:cnfStyle w:val="001000000000" w:firstRow="0" w:lastRow="0" w:firstColumn="1" w:lastColumn="0" w:oddVBand="0" w:evenVBand="0" w:oddHBand="0" w:evenHBand="0" w:firstRowFirstColumn="0" w:firstRowLastColumn="0" w:lastRowFirstColumn="0" w:lastRowLastColumn="0"/>
            <w:tcW w:w="1773" w:type="pct"/>
            <w:vAlign w:val="center"/>
          </w:tcPr>
          <w:p w14:paraId="1C1F0139" w14:textId="19D28CD9" w:rsidR="00E25E2F" w:rsidRPr="00054F6D" w:rsidRDefault="00E25E2F" w:rsidP="00E25E2F">
            <w:pPr>
              <w:kinsoku w:val="0"/>
              <w:overflowPunct w:val="0"/>
              <w:autoSpaceDE w:val="0"/>
              <w:autoSpaceDN w:val="0"/>
              <w:adjustRightInd w:val="0"/>
              <w:rPr>
                <w:rFonts w:eastAsia="Calibri" w:cs="Arial"/>
                <w:sz w:val="22"/>
                <w:szCs w:val="22"/>
              </w:rPr>
            </w:pPr>
            <w:r>
              <w:rPr>
                <w:rFonts w:eastAsia="Calibri" w:cs="Arial"/>
                <w:sz w:val="22"/>
                <w:szCs w:val="22"/>
              </w:rPr>
              <w:t>Quartile</w:t>
            </w:r>
          </w:p>
        </w:tc>
        <w:tc>
          <w:tcPr>
            <w:tcW w:w="1591" w:type="pct"/>
            <w:vAlign w:val="center"/>
          </w:tcPr>
          <w:p w14:paraId="6C7EA78B" w14:textId="10B210B1" w:rsidR="00E25E2F" w:rsidRPr="00054F6D" w:rsidRDefault="00E25E2F" w:rsidP="00E25E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Calibri" w:cs="Times New Roman"/>
                <w:sz w:val="22"/>
                <w:szCs w:val="22"/>
              </w:rPr>
              <w:t>Women %</w:t>
            </w:r>
          </w:p>
        </w:tc>
        <w:tc>
          <w:tcPr>
            <w:tcW w:w="1636" w:type="pct"/>
            <w:gridSpan w:val="3"/>
            <w:vAlign w:val="center"/>
          </w:tcPr>
          <w:p w14:paraId="51EE7668" w14:textId="1A37207C" w:rsidR="00E25E2F" w:rsidRPr="00054F6D" w:rsidRDefault="00E25E2F" w:rsidP="00E25E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Calibri" w:cs="Times New Roman"/>
                <w:sz w:val="22"/>
                <w:szCs w:val="22"/>
              </w:rPr>
              <w:t>Men %</w:t>
            </w:r>
          </w:p>
        </w:tc>
      </w:tr>
      <w:tr w:rsidR="00054F6D" w:rsidRPr="00054F6D" w14:paraId="0BF8830F" w14:textId="77777777" w:rsidTr="00E25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pct"/>
            <w:vAlign w:val="center"/>
          </w:tcPr>
          <w:p w14:paraId="356C39D0" w14:textId="77777777" w:rsidR="00054F6D" w:rsidRPr="00054F6D" w:rsidRDefault="00054F6D" w:rsidP="00E25E2F">
            <w:pPr>
              <w:kinsoku w:val="0"/>
              <w:overflowPunct w:val="0"/>
              <w:autoSpaceDE w:val="0"/>
              <w:autoSpaceDN w:val="0"/>
              <w:adjustRightInd w:val="0"/>
              <w:spacing w:line="288" w:lineRule="auto"/>
              <w:rPr>
                <w:rFonts w:eastAsia="Calibri" w:cs="Times New Roman"/>
                <w:sz w:val="22"/>
                <w:szCs w:val="22"/>
              </w:rPr>
            </w:pPr>
            <w:r w:rsidRPr="00054F6D">
              <w:rPr>
                <w:rFonts w:eastAsia="Calibri" w:cs="Arial"/>
                <w:sz w:val="22"/>
                <w:szCs w:val="22"/>
              </w:rPr>
              <w:t>F</w:t>
            </w:r>
            <w:r w:rsidRPr="00054F6D">
              <w:rPr>
                <w:rFonts w:eastAsia="Calibri" w:cs="Arial"/>
                <w:spacing w:val="-1"/>
                <w:sz w:val="22"/>
                <w:szCs w:val="22"/>
              </w:rPr>
              <w:t>i</w:t>
            </w:r>
            <w:r w:rsidRPr="00054F6D">
              <w:rPr>
                <w:rFonts w:eastAsia="Calibri" w:cs="Arial"/>
                <w:sz w:val="22"/>
                <w:szCs w:val="22"/>
              </w:rPr>
              <w:t>rst</w:t>
            </w:r>
            <w:r w:rsidRPr="00054F6D">
              <w:rPr>
                <w:rFonts w:eastAsia="Calibri" w:cs="Arial"/>
                <w:spacing w:val="-11"/>
                <w:sz w:val="22"/>
                <w:szCs w:val="22"/>
              </w:rPr>
              <w:t xml:space="preserve"> </w:t>
            </w:r>
            <w:r w:rsidRPr="00054F6D">
              <w:rPr>
                <w:rFonts w:eastAsia="Calibri" w:cs="Arial"/>
                <w:sz w:val="22"/>
                <w:szCs w:val="22"/>
              </w:rPr>
              <w:t>(</w:t>
            </w:r>
            <w:r w:rsidRPr="00054F6D">
              <w:rPr>
                <w:rFonts w:eastAsia="Calibri" w:cs="Arial"/>
                <w:spacing w:val="-1"/>
                <w:sz w:val="22"/>
                <w:szCs w:val="22"/>
              </w:rPr>
              <w:t>l</w:t>
            </w:r>
            <w:r w:rsidRPr="00054F6D">
              <w:rPr>
                <w:rFonts w:eastAsia="Calibri" w:cs="Arial"/>
                <w:spacing w:val="3"/>
                <w:sz w:val="22"/>
                <w:szCs w:val="22"/>
              </w:rPr>
              <w:t>o</w:t>
            </w:r>
            <w:r w:rsidRPr="00054F6D">
              <w:rPr>
                <w:rFonts w:eastAsia="Calibri" w:cs="Arial"/>
                <w:spacing w:val="-3"/>
                <w:sz w:val="22"/>
                <w:szCs w:val="22"/>
              </w:rPr>
              <w:t>w</w:t>
            </w:r>
            <w:r w:rsidRPr="00054F6D">
              <w:rPr>
                <w:rFonts w:eastAsia="Calibri" w:cs="Arial"/>
                <w:sz w:val="22"/>
                <w:szCs w:val="22"/>
              </w:rPr>
              <w:t>er)</w:t>
            </w:r>
            <w:r w:rsidRPr="00054F6D">
              <w:rPr>
                <w:rFonts w:eastAsia="Calibri" w:cs="Arial"/>
                <w:spacing w:val="-12"/>
                <w:sz w:val="22"/>
                <w:szCs w:val="22"/>
              </w:rPr>
              <w:t xml:space="preserve"> </w:t>
            </w:r>
            <w:r w:rsidRPr="00054F6D">
              <w:rPr>
                <w:rFonts w:eastAsia="Calibri" w:cs="Arial"/>
                <w:spacing w:val="-1"/>
                <w:sz w:val="22"/>
                <w:szCs w:val="22"/>
              </w:rPr>
              <w:t>q</w:t>
            </w:r>
            <w:r w:rsidRPr="00054F6D">
              <w:rPr>
                <w:rFonts w:eastAsia="Calibri" w:cs="Arial"/>
                <w:sz w:val="22"/>
                <w:szCs w:val="22"/>
              </w:rPr>
              <w:t>uart</w:t>
            </w:r>
            <w:r w:rsidRPr="00054F6D">
              <w:rPr>
                <w:rFonts w:eastAsia="Calibri" w:cs="Arial"/>
                <w:spacing w:val="-1"/>
                <w:sz w:val="22"/>
                <w:szCs w:val="22"/>
              </w:rPr>
              <w:t>i</w:t>
            </w:r>
            <w:r w:rsidRPr="00054F6D">
              <w:rPr>
                <w:rFonts w:eastAsia="Calibri" w:cs="Arial"/>
                <w:sz w:val="22"/>
                <w:szCs w:val="22"/>
              </w:rPr>
              <w:t>le</w:t>
            </w:r>
          </w:p>
        </w:tc>
        <w:tc>
          <w:tcPr>
            <w:tcW w:w="1591" w:type="pct"/>
            <w:vAlign w:val="center"/>
            <w:hideMark/>
          </w:tcPr>
          <w:p w14:paraId="13F2B4B6" w14:textId="77777777" w:rsidR="00054F6D" w:rsidRPr="00054F6D" w:rsidRDefault="00054F6D" w:rsidP="00E25E2F">
            <w:pPr>
              <w:autoSpaceDE w:val="0"/>
              <w:autoSpaceDN w:val="0"/>
              <w:adjustRightInd w:val="0"/>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47.83%</w:t>
            </w:r>
          </w:p>
        </w:tc>
        <w:tc>
          <w:tcPr>
            <w:tcW w:w="1636" w:type="pct"/>
            <w:gridSpan w:val="3"/>
            <w:vAlign w:val="center"/>
            <w:hideMark/>
          </w:tcPr>
          <w:p w14:paraId="610B5CEB" w14:textId="77777777" w:rsidR="00054F6D" w:rsidRPr="00054F6D" w:rsidRDefault="00054F6D" w:rsidP="00E25E2F">
            <w:pPr>
              <w:autoSpaceDE w:val="0"/>
              <w:autoSpaceDN w:val="0"/>
              <w:adjustRightInd w:val="0"/>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52.17%</w:t>
            </w:r>
          </w:p>
        </w:tc>
      </w:tr>
      <w:tr w:rsidR="00054F6D" w:rsidRPr="00054F6D" w14:paraId="4E37EAC6" w14:textId="77777777" w:rsidTr="00E25E2F">
        <w:tc>
          <w:tcPr>
            <w:cnfStyle w:val="001000000000" w:firstRow="0" w:lastRow="0" w:firstColumn="1" w:lastColumn="0" w:oddVBand="0" w:evenVBand="0" w:oddHBand="0" w:evenHBand="0" w:firstRowFirstColumn="0" w:firstRowLastColumn="0" w:lastRowFirstColumn="0" w:lastRowLastColumn="0"/>
            <w:tcW w:w="1773" w:type="pct"/>
            <w:vAlign w:val="center"/>
          </w:tcPr>
          <w:p w14:paraId="431DFDBE" w14:textId="77777777" w:rsidR="00054F6D" w:rsidRPr="00054F6D" w:rsidRDefault="00054F6D" w:rsidP="00E25E2F">
            <w:pPr>
              <w:kinsoku w:val="0"/>
              <w:overflowPunct w:val="0"/>
              <w:autoSpaceDE w:val="0"/>
              <w:autoSpaceDN w:val="0"/>
              <w:adjustRightInd w:val="0"/>
              <w:spacing w:line="288" w:lineRule="auto"/>
              <w:rPr>
                <w:rFonts w:eastAsia="Calibri" w:cs="Times New Roman"/>
                <w:sz w:val="22"/>
                <w:szCs w:val="22"/>
              </w:rPr>
            </w:pPr>
            <w:r w:rsidRPr="00054F6D">
              <w:rPr>
                <w:rFonts w:eastAsia="Calibri" w:cs="Arial"/>
                <w:sz w:val="22"/>
                <w:szCs w:val="22"/>
              </w:rPr>
              <w:t>Seco</w:t>
            </w:r>
            <w:r w:rsidRPr="00054F6D">
              <w:rPr>
                <w:rFonts w:eastAsia="Calibri" w:cs="Arial"/>
                <w:spacing w:val="-2"/>
                <w:sz w:val="22"/>
                <w:szCs w:val="22"/>
              </w:rPr>
              <w:t>n</w:t>
            </w:r>
            <w:r w:rsidRPr="00054F6D">
              <w:rPr>
                <w:rFonts w:eastAsia="Calibri" w:cs="Arial"/>
                <w:sz w:val="22"/>
                <w:szCs w:val="22"/>
              </w:rPr>
              <w:t>d</w:t>
            </w:r>
            <w:r w:rsidRPr="00054F6D">
              <w:rPr>
                <w:rFonts w:eastAsia="Calibri" w:cs="Arial"/>
                <w:spacing w:val="-16"/>
                <w:sz w:val="22"/>
                <w:szCs w:val="22"/>
              </w:rPr>
              <w:t xml:space="preserve"> </w:t>
            </w:r>
            <w:r w:rsidRPr="00054F6D">
              <w:rPr>
                <w:rFonts w:eastAsia="Calibri" w:cs="Arial"/>
                <w:spacing w:val="-1"/>
                <w:sz w:val="22"/>
                <w:szCs w:val="22"/>
              </w:rPr>
              <w:t>q</w:t>
            </w:r>
            <w:r w:rsidRPr="00054F6D">
              <w:rPr>
                <w:rFonts w:eastAsia="Calibri" w:cs="Arial"/>
                <w:sz w:val="22"/>
                <w:szCs w:val="22"/>
              </w:rPr>
              <w:t>uart</w:t>
            </w:r>
            <w:r w:rsidRPr="00054F6D">
              <w:rPr>
                <w:rFonts w:eastAsia="Calibri" w:cs="Arial"/>
                <w:spacing w:val="-1"/>
                <w:sz w:val="22"/>
                <w:szCs w:val="22"/>
              </w:rPr>
              <w:t>i</w:t>
            </w:r>
            <w:r w:rsidRPr="00054F6D">
              <w:rPr>
                <w:rFonts w:eastAsia="Calibri" w:cs="Arial"/>
                <w:sz w:val="22"/>
                <w:szCs w:val="22"/>
              </w:rPr>
              <w:t>le</w:t>
            </w:r>
          </w:p>
        </w:tc>
        <w:tc>
          <w:tcPr>
            <w:tcW w:w="1591" w:type="pct"/>
            <w:vAlign w:val="center"/>
            <w:hideMark/>
          </w:tcPr>
          <w:p w14:paraId="709C4D78" w14:textId="77777777" w:rsidR="00054F6D" w:rsidRPr="00054F6D" w:rsidRDefault="00054F6D" w:rsidP="00E25E2F">
            <w:pPr>
              <w:autoSpaceDE w:val="0"/>
              <w:autoSpaceDN w:val="0"/>
              <w:adjustRightInd w:val="0"/>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37.93%</w:t>
            </w:r>
          </w:p>
        </w:tc>
        <w:tc>
          <w:tcPr>
            <w:tcW w:w="1636" w:type="pct"/>
            <w:gridSpan w:val="3"/>
            <w:vAlign w:val="center"/>
            <w:hideMark/>
          </w:tcPr>
          <w:p w14:paraId="3754E091" w14:textId="77777777" w:rsidR="00054F6D" w:rsidRPr="00054F6D" w:rsidRDefault="00054F6D" w:rsidP="00E25E2F">
            <w:pPr>
              <w:autoSpaceDE w:val="0"/>
              <w:autoSpaceDN w:val="0"/>
              <w:adjustRightInd w:val="0"/>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62.07%</w:t>
            </w:r>
          </w:p>
        </w:tc>
      </w:tr>
      <w:tr w:rsidR="00054F6D" w:rsidRPr="00054F6D" w14:paraId="5084495F" w14:textId="77777777" w:rsidTr="00E25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pct"/>
            <w:vAlign w:val="center"/>
          </w:tcPr>
          <w:p w14:paraId="120336BB" w14:textId="77777777" w:rsidR="00054F6D" w:rsidRPr="00054F6D" w:rsidRDefault="00054F6D" w:rsidP="00E25E2F">
            <w:pPr>
              <w:kinsoku w:val="0"/>
              <w:overflowPunct w:val="0"/>
              <w:autoSpaceDE w:val="0"/>
              <w:autoSpaceDN w:val="0"/>
              <w:adjustRightInd w:val="0"/>
              <w:spacing w:line="288" w:lineRule="auto"/>
              <w:rPr>
                <w:rFonts w:eastAsia="Calibri" w:cs="Times New Roman"/>
                <w:sz w:val="22"/>
                <w:szCs w:val="22"/>
              </w:rPr>
            </w:pPr>
            <w:r w:rsidRPr="00054F6D">
              <w:rPr>
                <w:rFonts w:eastAsia="Calibri" w:cs="Arial"/>
                <w:spacing w:val="1"/>
                <w:sz w:val="22"/>
                <w:szCs w:val="22"/>
              </w:rPr>
              <w:t>T</w:t>
            </w:r>
            <w:r w:rsidRPr="00054F6D">
              <w:rPr>
                <w:rFonts w:eastAsia="Calibri" w:cs="Arial"/>
                <w:sz w:val="22"/>
                <w:szCs w:val="22"/>
              </w:rPr>
              <w:t>hi</w:t>
            </w:r>
            <w:r w:rsidRPr="00054F6D">
              <w:rPr>
                <w:rFonts w:eastAsia="Calibri" w:cs="Arial"/>
                <w:spacing w:val="-2"/>
                <w:sz w:val="22"/>
                <w:szCs w:val="22"/>
              </w:rPr>
              <w:t>r</w:t>
            </w:r>
            <w:r w:rsidRPr="00054F6D">
              <w:rPr>
                <w:rFonts w:eastAsia="Calibri" w:cs="Arial"/>
                <w:sz w:val="22"/>
                <w:szCs w:val="22"/>
              </w:rPr>
              <w:t>d</w:t>
            </w:r>
            <w:r w:rsidRPr="00054F6D">
              <w:rPr>
                <w:rFonts w:eastAsia="Calibri" w:cs="Arial"/>
                <w:spacing w:val="-14"/>
                <w:sz w:val="22"/>
                <w:szCs w:val="22"/>
              </w:rPr>
              <w:t xml:space="preserve"> </w:t>
            </w:r>
            <w:r w:rsidRPr="00054F6D">
              <w:rPr>
                <w:rFonts w:eastAsia="Calibri" w:cs="Arial"/>
                <w:spacing w:val="-1"/>
                <w:sz w:val="22"/>
                <w:szCs w:val="22"/>
              </w:rPr>
              <w:t>q</w:t>
            </w:r>
            <w:r w:rsidRPr="00054F6D">
              <w:rPr>
                <w:rFonts w:eastAsia="Calibri" w:cs="Arial"/>
                <w:spacing w:val="-2"/>
                <w:sz w:val="22"/>
                <w:szCs w:val="22"/>
              </w:rPr>
              <w:t>u</w:t>
            </w:r>
            <w:r w:rsidRPr="00054F6D">
              <w:rPr>
                <w:rFonts w:eastAsia="Calibri" w:cs="Arial"/>
                <w:sz w:val="22"/>
                <w:szCs w:val="22"/>
              </w:rPr>
              <w:t>art</w:t>
            </w:r>
            <w:r w:rsidRPr="00054F6D">
              <w:rPr>
                <w:rFonts w:eastAsia="Calibri" w:cs="Arial"/>
                <w:spacing w:val="-1"/>
                <w:sz w:val="22"/>
                <w:szCs w:val="22"/>
              </w:rPr>
              <w:t>i</w:t>
            </w:r>
            <w:r w:rsidRPr="00054F6D">
              <w:rPr>
                <w:rFonts w:eastAsia="Calibri" w:cs="Arial"/>
                <w:sz w:val="22"/>
                <w:szCs w:val="22"/>
              </w:rPr>
              <w:t>le</w:t>
            </w:r>
          </w:p>
        </w:tc>
        <w:tc>
          <w:tcPr>
            <w:tcW w:w="1591" w:type="pct"/>
            <w:vAlign w:val="center"/>
            <w:hideMark/>
          </w:tcPr>
          <w:p w14:paraId="205767D2" w14:textId="77777777" w:rsidR="00054F6D" w:rsidRPr="00054F6D" w:rsidRDefault="00054F6D" w:rsidP="00E25E2F">
            <w:pPr>
              <w:autoSpaceDE w:val="0"/>
              <w:autoSpaceDN w:val="0"/>
              <w:adjustRightInd w:val="0"/>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60.87%</w:t>
            </w:r>
          </w:p>
        </w:tc>
        <w:tc>
          <w:tcPr>
            <w:tcW w:w="1636" w:type="pct"/>
            <w:gridSpan w:val="3"/>
            <w:vAlign w:val="center"/>
            <w:hideMark/>
          </w:tcPr>
          <w:p w14:paraId="5436AC7E" w14:textId="77777777" w:rsidR="00054F6D" w:rsidRPr="00054F6D" w:rsidRDefault="00054F6D" w:rsidP="00E25E2F">
            <w:pPr>
              <w:autoSpaceDE w:val="0"/>
              <w:autoSpaceDN w:val="0"/>
              <w:adjustRightInd w:val="0"/>
              <w:spacing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39.13%</w:t>
            </w:r>
          </w:p>
        </w:tc>
      </w:tr>
      <w:tr w:rsidR="00054F6D" w:rsidRPr="00054F6D" w14:paraId="0D89821D" w14:textId="77777777" w:rsidTr="00E25E2F">
        <w:tc>
          <w:tcPr>
            <w:cnfStyle w:val="001000000000" w:firstRow="0" w:lastRow="0" w:firstColumn="1" w:lastColumn="0" w:oddVBand="0" w:evenVBand="0" w:oddHBand="0" w:evenHBand="0" w:firstRowFirstColumn="0" w:firstRowLastColumn="0" w:lastRowFirstColumn="0" w:lastRowLastColumn="0"/>
            <w:tcW w:w="1773" w:type="pct"/>
            <w:vAlign w:val="center"/>
          </w:tcPr>
          <w:p w14:paraId="5106283B" w14:textId="77777777" w:rsidR="00054F6D" w:rsidRPr="00054F6D" w:rsidRDefault="00054F6D" w:rsidP="00E25E2F">
            <w:pPr>
              <w:kinsoku w:val="0"/>
              <w:overflowPunct w:val="0"/>
              <w:autoSpaceDE w:val="0"/>
              <w:autoSpaceDN w:val="0"/>
              <w:adjustRightInd w:val="0"/>
              <w:spacing w:line="288" w:lineRule="auto"/>
              <w:rPr>
                <w:rFonts w:eastAsia="Calibri" w:cs="Times New Roman"/>
                <w:sz w:val="22"/>
                <w:szCs w:val="22"/>
              </w:rPr>
            </w:pPr>
            <w:r w:rsidRPr="00054F6D">
              <w:rPr>
                <w:rFonts w:eastAsia="Calibri" w:cs="Arial"/>
                <w:sz w:val="22"/>
                <w:szCs w:val="22"/>
              </w:rPr>
              <w:t>Fourth</w:t>
            </w:r>
            <w:r w:rsidRPr="00054F6D">
              <w:rPr>
                <w:rFonts w:eastAsia="Calibri" w:cs="Arial"/>
                <w:spacing w:val="-12"/>
                <w:sz w:val="22"/>
                <w:szCs w:val="22"/>
              </w:rPr>
              <w:t xml:space="preserve"> </w:t>
            </w:r>
            <w:r w:rsidRPr="00054F6D">
              <w:rPr>
                <w:rFonts w:eastAsia="Calibri" w:cs="Arial"/>
                <w:sz w:val="22"/>
                <w:szCs w:val="22"/>
              </w:rPr>
              <w:t>(</w:t>
            </w:r>
            <w:r w:rsidRPr="00054F6D">
              <w:rPr>
                <w:rFonts w:eastAsia="Calibri" w:cs="Arial"/>
                <w:spacing w:val="-2"/>
                <w:sz w:val="22"/>
                <w:szCs w:val="22"/>
              </w:rPr>
              <w:t>u</w:t>
            </w:r>
            <w:r w:rsidRPr="00054F6D">
              <w:rPr>
                <w:rFonts w:eastAsia="Calibri" w:cs="Arial"/>
                <w:sz w:val="22"/>
                <w:szCs w:val="22"/>
              </w:rPr>
              <w:t>pper)</w:t>
            </w:r>
            <w:r w:rsidRPr="00054F6D">
              <w:rPr>
                <w:rFonts w:eastAsia="Calibri" w:cs="Arial"/>
                <w:spacing w:val="-13"/>
                <w:sz w:val="22"/>
                <w:szCs w:val="22"/>
              </w:rPr>
              <w:t xml:space="preserve"> </w:t>
            </w:r>
            <w:r w:rsidRPr="00054F6D">
              <w:rPr>
                <w:rFonts w:eastAsia="Calibri" w:cs="Arial"/>
                <w:spacing w:val="-1"/>
                <w:sz w:val="22"/>
                <w:szCs w:val="22"/>
              </w:rPr>
              <w:t>q</w:t>
            </w:r>
            <w:r w:rsidRPr="00054F6D">
              <w:rPr>
                <w:rFonts w:eastAsia="Calibri" w:cs="Arial"/>
                <w:sz w:val="22"/>
                <w:szCs w:val="22"/>
              </w:rPr>
              <w:t>uart</w:t>
            </w:r>
            <w:r w:rsidRPr="00054F6D">
              <w:rPr>
                <w:rFonts w:eastAsia="Calibri" w:cs="Arial"/>
                <w:spacing w:val="-1"/>
                <w:sz w:val="22"/>
                <w:szCs w:val="22"/>
              </w:rPr>
              <w:t>i</w:t>
            </w:r>
            <w:r w:rsidRPr="00054F6D">
              <w:rPr>
                <w:rFonts w:eastAsia="Calibri" w:cs="Arial"/>
                <w:sz w:val="22"/>
                <w:szCs w:val="22"/>
              </w:rPr>
              <w:t>le</w:t>
            </w:r>
          </w:p>
        </w:tc>
        <w:tc>
          <w:tcPr>
            <w:tcW w:w="1591" w:type="pct"/>
            <w:vAlign w:val="center"/>
            <w:hideMark/>
          </w:tcPr>
          <w:p w14:paraId="744239DF" w14:textId="77777777" w:rsidR="00054F6D" w:rsidRPr="00054F6D" w:rsidRDefault="00054F6D" w:rsidP="00E25E2F">
            <w:pPr>
              <w:autoSpaceDE w:val="0"/>
              <w:autoSpaceDN w:val="0"/>
              <w:adjustRightInd w:val="0"/>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53.45%</w:t>
            </w:r>
          </w:p>
        </w:tc>
        <w:tc>
          <w:tcPr>
            <w:tcW w:w="1636" w:type="pct"/>
            <w:gridSpan w:val="3"/>
            <w:vAlign w:val="center"/>
            <w:hideMark/>
          </w:tcPr>
          <w:p w14:paraId="2BB30312" w14:textId="77777777" w:rsidR="00054F6D" w:rsidRPr="00054F6D" w:rsidRDefault="00054F6D" w:rsidP="00E25E2F">
            <w:pPr>
              <w:autoSpaceDE w:val="0"/>
              <w:autoSpaceDN w:val="0"/>
              <w:adjustRightInd w:val="0"/>
              <w:spacing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054F6D">
              <w:rPr>
                <w:rFonts w:eastAsia="Calibri" w:cs="Times New Roman"/>
                <w:sz w:val="22"/>
                <w:szCs w:val="22"/>
              </w:rPr>
              <w:t>46.55%</w:t>
            </w:r>
          </w:p>
        </w:tc>
      </w:tr>
    </w:tbl>
    <w:p w14:paraId="4FE5E1C7" w14:textId="77777777" w:rsidR="00E25E2F" w:rsidRDefault="00054F6D" w:rsidP="0076472B">
      <w:pPr>
        <w:pStyle w:val="3Copy-text"/>
        <w:rPr>
          <w:lang w:eastAsia="en-GB"/>
        </w:rPr>
      </w:pPr>
      <w:r w:rsidRPr="00054F6D">
        <w:rPr>
          <w:lang w:eastAsia="en-GB"/>
        </w:rPr>
        <w:t>The median gender pay gap is 23.26% in favour of women. This pay lead will be addressed through the actions identified above in the equal pay audit. The mean hourly rate for male and female employees under the specified method for Gender Pay Gap calculations was £17.58 and £18.59 respectively. The median hourly rate for male and female employees was £14.59 and £17.99 respectively.</w:t>
      </w:r>
      <w:r w:rsidR="0076472B">
        <w:rPr>
          <w:lang w:eastAsia="en-GB"/>
        </w:rPr>
        <w:t xml:space="preserve"> </w:t>
      </w:r>
    </w:p>
    <w:p w14:paraId="4C4DD80F" w14:textId="411379FE" w:rsidR="00054F6D" w:rsidRDefault="00054F6D" w:rsidP="0076472B">
      <w:pPr>
        <w:pStyle w:val="3Copy-text"/>
        <w:rPr>
          <w:lang w:eastAsia="en-GB"/>
        </w:rPr>
      </w:pPr>
      <w:r w:rsidRPr="00054F6D">
        <w:rPr>
          <w:lang w:eastAsia="en-GB"/>
        </w:rPr>
        <w:t>We do not pay bonuses to any of our employees.</w:t>
      </w:r>
      <w:r>
        <w:rPr>
          <w:lang w:eastAsia="en-GB"/>
        </w:rPr>
        <w:br w:type="page"/>
      </w:r>
    </w:p>
    <w:p w14:paraId="374AF0C5" w14:textId="01E9C367" w:rsidR="00054F6D" w:rsidRDefault="00054F6D" w:rsidP="0076472B">
      <w:pPr>
        <w:pStyle w:val="2Sub-headings"/>
        <w:rPr>
          <w:lang w:eastAsia="en-GB"/>
        </w:rPr>
      </w:pPr>
      <w:r w:rsidRPr="00054F6D">
        <w:rPr>
          <w:lang w:eastAsia="en-GB"/>
        </w:rPr>
        <w:lastRenderedPageBreak/>
        <w:t>Equal Pay and Gender Pay Gap Reporting Data Improvement Actions</w:t>
      </w:r>
    </w:p>
    <w:tbl>
      <w:tblPr>
        <w:tblStyle w:val="GridTable4-Accent4"/>
        <w:tblW w:w="5000" w:type="pct"/>
        <w:tblLook w:val="04A0" w:firstRow="1" w:lastRow="0" w:firstColumn="1" w:lastColumn="0" w:noHBand="0" w:noVBand="1"/>
      </w:tblPr>
      <w:tblGrid>
        <w:gridCol w:w="822"/>
        <w:gridCol w:w="7417"/>
        <w:gridCol w:w="2182"/>
        <w:gridCol w:w="4365"/>
      </w:tblGrid>
      <w:tr w:rsidR="00054F6D" w:rsidRPr="00054F6D" w14:paraId="5CF66839" w14:textId="77777777" w:rsidTr="00634F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14:paraId="079646EA" w14:textId="77777777" w:rsidR="00054F6D" w:rsidRPr="00054F6D" w:rsidRDefault="00054F6D" w:rsidP="00054F6D">
            <w:pPr>
              <w:spacing w:before="0" w:after="160" w:line="256" w:lineRule="auto"/>
              <w:rPr>
                <w:rFonts w:eastAsia="Cynulliad Sans" w:cs="Times New Roman"/>
                <w:b w:val="0"/>
                <w:sz w:val="22"/>
                <w:szCs w:val="22"/>
              </w:rPr>
            </w:pPr>
          </w:p>
        </w:tc>
        <w:tc>
          <w:tcPr>
            <w:tcW w:w="2508" w:type="pct"/>
            <w:hideMark/>
          </w:tcPr>
          <w:p w14:paraId="2B2B328F" w14:textId="77777777" w:rsidR="00054F6D" w:rsidRPr="00054F6D" w:rsidRDefault="00054F6D" w:rsidP="00054F6D">
            <w:pPr>
              <w:spacing w:before="0" w:after="160" w:line="256" w:lineRule="auto"/>
              <w:cnfStyle w:val="100000000000" w:firstRow="1" w:lastRow="0" w:firstColumn="0" w:lastColumn="0" w:oddVBand="0" w:evenVBand="0" w:oddHBand="0" w:evenHBand="0" w:firstRowFirstColumn="0" w:firstRowLastColumn="0" w:lastRowFirstColumn="0" w:lastRowLastColumn="0"/>
              <w:rPr>
                <w:rFonts w:eastAsia="Calibri" w:cs="Times New Roman"/>
                <w:b w:val="0"/>
                <w:sz w:val="22"/>
                <w:szCs w:val="22"/>
              </w:rPr>
            </w:pPr>
            <w:r w:rsidRPr="00054F6D">
              <w:rPr>
                <w:rFonts w:eastAsia="Calibri" w:cs="Times New Roman"/>
                <w:b w:val="0"/>
                <w:sz w:val="22"/>
                <w:szCs w:val="22"/>
              </w:rPr>
              <w:t>Action</w:t>
            </w:r>
          </w:p>
        </w:tc>
        <w:tc>
          <w:tcPr>
            <w:tcW w:w="738" w:type="pct"/>
            <w:hideMark/>
          </w:tcPr>
          <w:p w14:paraId="333F7097" w14:textId="77777777" w:rsidR="00054F6D" w:rsidRPr="00054F6D" w:rsidRDefault="00054F6D" w:rsidP="00054F6D">
            <w:pPr>
              <w:spacing w:before="0" w:after="160" w:line="256" w:lineRule="auto"/>
              <w:cnfStyle w:val="100000000000" w:firstRow="1" w:lastRow="0" w:firstColumn="0" w:lastColumn="0" w:oddVBand="0" w:evenVBand="0" w:oddHBand="0" w:evenHBand="0" w:firstRowFirstColumn="0" w:firstRowLastColumn="0" w:lastRowFirstColumn="0" w:lastRowLastColumn="0"/>
              <w:rPr>
                <w:rFonts w:eastAsia="Calibri" w:cs="Times New Roman"/>
                <w:b w:val="0"/>
                <w:sz w:val="22"/>
                <w:szCs w:val="22"/>
              </w:rPr>
            </w:pPr>
            <w:r w:rsidRPr="00054F6D">
              <w:rPr>
                <w:rFonts w:eastAsia="Calibri" w:cs="Times New Roman"/>
                <w:b w:val="0"/>
                <w:sz w:val="22"/>
                <w:szCs w:val="22"/>
              </w:rPr>
              <w:t>Lead</w:t>
            </w:r>
          </w:p>
        </w:tc>
        <w:tc>
          <w:tcPr>
            <w:tcW w:w="1476" w:type="pct"/>
            <w:hideMark/>
          </w:tcPr>
          <w:p w14:paraId="23CF2620" w14:textId="77777777" w:rsidR="00054F6D" w:rsidRPr="00054F6D" w:rsidRDefault="00054F6D" w:rsidP="00054F6D">
            <w:pPr>
              <w:spacing w:before="0" w:after="160" w:line="256" w:lineRule="auto"/>
              <w:cnfStyle w:val="100000000000" w:firstRow="1" w:lastRow="0" w:firstColumn="0" w:lastColumn="0" w:oddVBand="0" w:evenVBand="0" w:oddHBand="0" w:evenHBand="0" w:firstRowFirstColumn="0" w:firstRowLastColumn="0" w:lastRowFirstColumn="0" w:lastRowLastColumn="0"/>
              <w:rPr>
                <w:rFonts w:eastAsia="Calibri" w:cs="Times New Roman"/>
                <w:b w:val="0"/>
                <w:sz w:val="22"/>
                <w:szCs w:val="22"/>
              </w:rPr>
            </w:pPr>
            <w:r w:rsidRPr="00054F6D">
              <w:rPr>
                <w:rFonts w:eastAsia="Calibri" w:cs="Times New Roman"/>
                <w:b w:val="0"/>
                <w:sz w:val="22"/>
                <w:szCs w:val="22"/>
              </w:rPr>
              <w:t>Target Date</w:t>
            </w:r>
          </w:p>
        </w:tc>
      </w:tr>
      <w:tr w:rsidR="00054F6D" w:rsidRPr="00054F6D" w14:paraId="65E991F3" w14:textId="77777777" w:rsidTr="0063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hideMark/>
          </w:tcPr>
          <w:p w14:paraId="7409414C" w14:textId="77777777" w:rsidR="00054F6D" w:rsidRPr="00054F6D" w:rsidRDefault="00054F6D" w:rsidP="00054F6D">
            <w:pPr>
              <w:spacing w:before="0" w:after="160" w:line="256" w:lineRule="auto"/>
              <w:rPr>
                <w:rFonts w:eastAsia="Cynulliad Sans" w:cs="Times New Roman"/>
                <w:sz w:val="22"/>
                <w:szCs w:val="22"/>
              </w:rPr>
            </w:pPr>
            <w:r w:rsidRPr="00054F6D">
              <w:rPr>
                <w:rFonts w:eastAsia="Cynulliad Sans" w:cs="Times New Roman"/>
                <w:sz w:val="22"/>
                <w:szCs w:val="22"/>
              </w:rPr>
              <w:t>1.</w:t>
            </w:r>
          </w:p>
        </w:tc>
        <w:tc>
          <w:tcPr>
            <w:tcW w:w="2508" w:type="pct"/>
          </w:tcPr>
          <w:p w14:paraId="221B04B6" w14:textId="77777777" w:rsidR="00054F6D" w:rsidRPr="00054F6D" w:rsidRDefault="00054F6D" w:rsidP="00054F6D">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 xml:space="preserve">Review the gender profile of our workforce across service areas, identify whether there are any barriers to recruitment and progression and take necessary steps to address this. </w:t>
            </w:r>
          </w:p>
          <w:p w14:paraId="01907697" w14:textId="77777777" w:rsidR="00054F6D" w:rsidRPr="00054F6D" w:rsidRDefault="00054F6D" w:rsidP="00054F6D">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Continue to review and monitor our allowances (which is in accordance with equal pay legislation)</w:t>
            </w:r>
          </w:p>
          <w:p w14:paraId="1E222260" w14:textId="77777777" w:rsidR="00054F6D" w:rsidRPr="00054F6D" w:rsidRDefault="00054F6D" w:rsidP="00054F6D">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p w14:paraId="1E8D741A" w14:textId="77777777" w:rsidR="00054F6D" w:rsidRPr="00054F6D" w:rsidRDefault="00054F6D" w:rsidP="00054F6D">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Review our monitoring mechanisms for all our allowances.</w:t>
            </w:r>
          </w:p>
        </w:tc>
        <w:tc>
          <w:tcPr>
            <w:tcW w:w="738" w:type="pct"/>
            <w:hideMark/>
          </w:tcPr>
          <w:p w14:paraId="33ABC367" w14:textId="77777777" w:rsidR="00054F6D" w:rsidRPr="00054F6D" w:rsidRDefault="00054F6D" w:rsidP="00054F6D">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HR</w:t>
            </w:r>
          </w:p>
        </w:tc>
        <w:tc>
          <w:tcPr>
            <w:tcW w:w="1476" w:type="pct"/>
          </w:tcPr>
          <w:p w14:paraId="5F742038" w14:textId="77777777" w:rsidR="00054F6D" w:rsidRPr="00054F6D" w:rsidRDefault="00054F6D" w:rsidP="00054F6D">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December 2017 – planning</w:t>
            </w:r>
          </w:p>
          <w:p w14:paraId="0504E5B8" w14:textId="77777777" w:rsidR="00054F6D" w:rsidRPr="00054F6D" w:rsidRDefault="00054F6D" w:rsidP="00054F6D">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p w14:paraId="27ED65B7" w14:textId="77777777" w:rsidR="00054F6D" w:rsidRPr="00054F6D" w:rsidRDefault="00054F6D" w:rsidP="00054F6D">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p>
          <w:p w14:paraId="5963D4DA" w14:textId="77777777" w:rsidR="00054F6D" w:rsidRPr="00054F6D" w:rsidRDefault="00054F6D" w:rsidP="00054F6D">
            <w:pPr>
              <w:spacing w:before="0" w:after="160" w:line="256" w:lineRule="auto"/>
              <w:cnfStyle w:val="000000100000" w:firstRow="0" w:lastRow="0" w:firstColumn="0" w:lastColumn="0" w:oddVBand="0" w:evenVBand="0" w:oddHBand="1"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 xml:space="preserve">March 2018 – actions identified  </w:t>
            </w:r>
          </w:p>
        </w:tc>
      </w:tr>
      <w:tr w:rsidR="00054F6D" w:rsidRPr="00054F6D" w14:paraId="4BDC6813" w14:textId="77777777" w:rsidTr="00634FE8">
        <w:tc>
          <w:tcPr>
            <w:cnfStyle w:val="001000000000" w:firstRow="0" w:lastRow="0" w:firstColumn="1" w:lastColumn="0" w:oddVBand="0" w:evenVBand="0" w:oddHBand="0" w:evenHBand="0" w:firstRowFirstColumn="0" w:firstRowLastColumn="0" w:lastRowFirstColumn="0" w:lastRowLastColumn="0"/>
            <w:tcW w:w="278" w:type="pct"/>
            <w:hideMark/>
          </w:tcPr>
          <w:p w14:paraId="4C91008D" w14:textId="77777777" w:rsidR="00054F6D" w:rsidRPr="00054F6D" w:rsidRDefault="00054F6D" w:rsidP="00054F6D">
            <w:pPr>
              <w:spacing w:before="0" w:after="160" w:line="256" w:lineRule="auto"/>
              <w:rPr>
                <w:rFonts w:eastAsia="Cynulliad Sans" w:cs="Times New Roman"/>
                <w:sz w:val="22"/>
                <w:szCs w:val="22"/>
              </w:rPr>
            </w:pPr>
            <w:r w:rsidRPr="00054F6D">
              <w:rPr>
                <w:rFonts w:eastAsia="Cynulliad Sans" w:cs="Times New Roman"/>
                <w:sz w:val="22"/>
                <w:szCs w:val="22"/>
              </w:rPr>
              <w:t>2.</w:t>
            </w:r>
          </w:p>
        </w:tc>
        <w:tc>
          <w:tcPr>
            <w:tcW w:w="2508" w:type="pct"/>
            <w:hideMark/>
          </w:tcPr>
          <w:p w14:paraId="71CF02ED" w14:textId="77777777" w:rsidR="00054F6D" w:rsidRPr="00054F6D" w:rsidRDefault="00054F6D" w:rsidP="00054F6D">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Continue to implement actions set out in the BME Action Plan.</w:t>
            </w:r>
          </w:p>
        </w:tc>
        <w:tc>
          <w:tcPr>
            <w:tcW w:w="738" w:type="pct"/>
            <w:hideMark/>
          </w:tcPr>
          <w:p w14:paraId="2DB038E8" w14:textId="77777777" w:rsidR="00054F6D" w:rsidRPr="00054F6D" w:rsidRDefault="00054F6D" w:rsidP="00054F6D">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HR</w:t>
            </w:r>
          </w:p>
        </w:tc>
        <w:tc>
          <w:tcPr>
            <w:tcW w:w="1476" w:type="pct"/>
            <w:hideMark/>
          </w:tcPr>
          <w:p w14:paraId="5C83EB08" w14:textId="77777777" w:rsidR="00054F6D" w:rsidRPr="00054F6D" w:rsidRDefault="00054F6D" w:rsidP="00054F6D">
            <w:pPr>
              <w:spacing w:before="0" w:after="160" w:line="256" w:lineRule="auto"/>
              <w:cnfStyle w:val="000000000000" w:firstRow="0" w:lastRow="0" w:firstColumn="0" w:lastColumn="0" w:oddVBand="0" w:evenVBand="0" w:oddHBand="0" w:evenHBand="0" w:firstRowFirstColumn="0" w:firstRowLastColumn="0" w:lastRowFirstColumn="0" w:lastRowLastColumn="0"/>
              <w:rPr>
                <w:rFonts w:eastAsia="Cynulliad Sans" w:cs="Times New Roman"/>
                <w:sz w:val="22"/>
                <w:szCs w:val="22"/>
              </w:rPr>
            </w:pPr>
            <w:r w:rsidRPr="00054F6D">
              <w:rPr>
                <w:rFonts w:eastAsia="Cynulliad Sans" w:cs="Times New Roman"/>
                <w:sz w:val="22"/>
                <w:szCs w:val="22"/>
              </w:rPr>
              <w:t>Ongoing</w:t>
            </w:r>
          </w:p>
        </w:tc>
      </w:tr>
    </w:tbl>
    <w:p w14:paraId="1307434B" w14:textId="7D046753" w:rsidR="00054F6D" w:rsidRPr="00054F6D" w:rsidRDefault="00054F6D" w:rsidP="00054F6D">
      <w:pPr>
        <w:rPr>
          <w:lang w:eastAsia="en-GB"/>
        </w:rPr>
      </w:pPr>
    </w:p>
    <w:sectPr w:rsidR="00054F6D" w:rsidRPr="00054F6D" w:rsidSect="00E94285">
      <w:pgSz w:w="16838" w:h="11906"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FE823" w14:textId="77777777" w:rsidR="00E94285" w:rsidRDefault="00E94285">
      <w:pPr>
        <w:spacing w:after="0" w:line="240" w:lineRule="auto"/>
      </w:pPr>
      <w:r>
        <w:separator/>
      </w:r>
    </w:p>
  </w:endnote>
  <w:endnote w:type="continuationSeparator" w:id="0">
    <w:p w14:paraId="0031132F" w14:textId="77777777" w:rsidR="00E94285" w:rsidRDefault="00E94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ynulliad Serif">
    <w:panose1 w:val="02000503040000020003"/>
    <w:charset w:val="00"/>
    <w:family w:val="auto"/>
    <w:pitch w:val="variable"/>
    <w:sig w:usb0="A00000AF" w:usb1="5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Medium">
    <w:panose1 w:val="00000600000000000000"/>
    <w:charset w:val="00"/>
    <w:family w:val="auto"/>
    <w:pitch w:val="variable"/>
    <w:sig w:usb0="20000007" w:usb1="00000001" w:usb2="00000000" w:usb3="00000000" w:csb0="00000193" w:csb1="00000000"/>
  </w:font>
  <w:font w:name="Cynulliad Sans">
    <w:panose1 w:val="020B0503030203020004"/>
    <w:charset w:val="00"/>
    <w:family w:val="swiss"/>
    <w:pitch w:val="variable"/>
    <w:sig w:usb0="A00000AF" w:usb1="4000205B" w:usb2="00000000" w:usb3="00000000" w:csb0="0000009B" w:csb1="00000000"/>
  </w:font>
  <w:font w:name="Montserrat">
    <w:panose1 w:val="00000500000000000000"/>
    <w:charset w:val="00"/>
    <w:family w:val="auto"/>
    <w:pitch w:val="variable"/>
    <w:sig w:usb0="20000007" w:usb1="00000001" w:usb2="00000000" w:usb3="00000000" w:csb0="00000193" w:csb1="00000000"/>
  </w:font>
  <w:font w:name="Montserrat Light">
    <w:panose1 w:val="000004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ynulliad Serif Lt">
    <w:panose1 w:val="02000503040000020003"/>
    <w:charset w:val="00"/>
    <w:family w:val="auto"/>
    <w:pitch w:val="variable"/>
    <w:sig w:usb0="A00000AF" w:usb1="5000205B" w:usb2="00000000" w:usb3="00000000" w:csb0="0000009B" w:csb1="00000000"/>
  </w:font>
  <w:font w:name="Montserrat ExtraLight">
    <w:panose1 w:val="000003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Lucida Sans Unicode,Calibri">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928773"/>
      <w:docPartObj>
        <w:docPartGallery w:val="Page Numbers (Bottom of Page)"/>
        <w:docPartUnique/>
      </w:docPartObj>
    </w:sdtPr>
    <w:sdtEndPr>
      <w:rPr>
        <w:noProof/>
      </w:rPr>
    </w:sdtEndPr>
    <w:sdtContent>
      <w:p w14:paraId="102704B2" w14:textId="77777777" w:rsidR="00E94285" w:rsidRDefault="00B05EBE" w:rsidP="00775C4B">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326787"/>
      <w:docPartObj>
        <w:docPartGallery w:val="Page Numbers (Bottom of Page)"/>
        <w:docPartUnique/>
      </w:docPartObj>
    </w:sdtPr>
    <w:sdtEndPr>
      <w:rPr>
        <w:noProof/>
      </w:rPr>
    </w:sdtEndPr>
    <w:sdtContent>
      <w:p w14:paraId="4C5DF669" w14:textId="77777777" w:rsidR="00E94285" w:rsidRDefault="00E94285" w:rsidP="00775C4B">
        <w:pPr>
          <w:pStyle w:val="Footer"/>
        </w:pPr>
        <w:r>
          <w:fldChar w:fldCharType="begin"/>
        </w:r>
        <w:r>
          <w:instrText xml:space="preserve"> PAGE   \* MERGEFORMAT </w:instrText>
        </w:r>
        <w:r>
          <w:fldChar w:fldCharType="separate"/>
        </w:r>
        <w:r w:rsidR="00B05EBE">
          <w:rPr>
            <w:noProof/>
          </w:rPr>
          <w:t>82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751175"/>
      <w:docPartObj>
        <w:docPartGallery w:val="Page Numbers (Bottom of Page)"/>
        <w:docPartUnique/>
      </w:docPartObj>
    </w:sdtPr>
    <w:sdtEndPr>
      <w:rPr>
        <w:noProof/>
      </w:rPr>
    </w:sdtEndPr>
    <w:sdtContent>
      <w:p w14:paraId="0FF48949" w14:textId="77777777" w:rsidR="00E94285" w:rsidRDefault="00E94285" w:rsidP="00D553D9">
        <w:pPr>
          <w:pStyle w:val="Footer"/>
        </w:pPr>
        <w:r>
          <w:fldChar w:fldCharType="begin"/>
        </w:r>
        <w:r>
          <w:instrText xml:space="preserve"> PAGE   \* MERGEFORMAT </w:instrText>
        </w:r>
        <w:r>
          <w:fldChar w:fldCharType="separate"/>
        </w:r>
        <w:r w:rsidR="00B05EBE">
          <w:rPr>
            <w:noProof/>
          </w:rPr>
          <w:t>81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92CC3" w14:textId="77777777" w:rsidR="00E94285" w:rsidRDefault="00E94285">
      <w:pPr>
        <w:spacing w:after="0" w:line="240" w:lineRule="auto"/>
      </w:pPr>
      <w:r>
        <w:separator/>
      </w:r>
    </w:p>
  </w:footnote>
  <w:footnote w:type="continuationSeparator" w:id="0">
    <w:p w14:paraId="7AD7A418" w14:textId="77777777" w:rsidR="00E94285" w:rsidRDefault="00E94285">
      <w:pPr>
        <w:spacing w:after="0" w:line="240" w:lineRule="auto"/>
      </w:pPr>
      <w:r>
        <w:continuationSeparator/>
      </w:r>
    </w:p>
  </w:footnote>
  <w:footnote w:id="1">
    <w:p w14:paraId="4B8E6C1F" w14:textId="77777777" w:rsidR="00E94285" w:rsidRDefault="00E94285" w:rsidP="00D553D9">
      <w:pPr>
        <w:pStyle w:val="FootnoteText"/>
        <w:rPr>
          <w:rFonts w:ascii="Calibri" w:hAnsi="Calibri"/>
        </w:rPr>
      </w:pPr>
      <w:r>
        <w:rPr>
          <w:rStyle w:val="FootnoteReference"/>
        </w:rPr>
        <w:footnoteRef/>
      </w:r>
      <w:r>
        <w:t xml:space="preserve"> Equality and Human Rights Commission – Equal Pay Audit Toolkit</w:t>
      </w:r>
    </w:p>
  </w:footnote>
  <w:footnote w:id="2">
    <w:p w14:paraId="6C635D32" w14:textId="77777777" w:rsidR="00E94285" w:rsidRDefault="00E94285" w:rsidP="00D553D9">
      <w:pPr>
        <w:pStyle w:val="FootnoteText"/>
      </w:pPr>
      <w:r>
        <w:rPr>
          <w:rStyle w:val="FootnoteReference"/>
        </w:rPr>
        <w:footnoteRef/>
      </w:r>
      <w:r>
        <w:t xml:space="preserve"> EHRC website</w:t>
      </w:r>
    </w:p>
  </w:footnote>
  <w:footnote w:id="3">
    <w:p w14:paraId="7DD5224C" w14:textId="77777777" w:rsidR="00E94285" w:rsidRDefault="00E94285" w:rsidP="00D553D9">
      <w:pPr>
        <w:pStyle w:val="FootnoteText"/>
        <w:rPr>
          <w:rFonts w:ascii="Calibri" w:hAnsi="Calibri"/>
        </w:rPr>
      </w:pPr>
      <w:r>
        <w:rPr>
          <w:rStyle w:val="FootnoteReference"/>
        </w:rPr>
        <w:footnoteRef/>
      </w:r>
      <w:r>
        <w:t xml:space="preserve"> Ibid.</w:t>
      </w:r>
    </w:p>
  </w:footnote>
  <w:footnote w:id="4">
    <w:p w14:paraId="6824CAD9" w14:textId="77777777" w:rsidR="00E94285" w:rsidRDefault="00E94285" w:rsidP="00D553D9">
      <w:pPr>
        <w:pStyle w:val="FootnoteText"/>
      </w:pPr>
      <w:r>
        <w:rPr>
          <w:rStyle w:val="FootnoteReference"/>
        </w:rPr>
        <w:footnoteRef/>
      </w:r>
      <w:r>
        <w:t xml:space="preserve"> Ibid.</w:t>
      </w:r>
    </w:p>
  </w:footnote>
  <w:footnote w:id="5">
    <w:p w14:paraId="166B3834" w14:textId="77777777" w:rsidR="00E94285" w:rsidRDefault="00E94285" w:rsidP="00FA67FD">
      <w:pPr>
        <w:pStyle w:val="FootnoteText"/>
      </w:pPr>
      <w:r>
        <w:rPr>
          <w:rStyle w:val="FootnoteReference"/>
        </w:rPr>
        <w:footnoteRef/>
      </w:r>
      <w:r>
        <w:t xml:space="preserve"> Ibid.</w:t>
      </w:r>
    </w:p>
  </w:footnote>
  <w:footnote w:id="6">
    <w:p w14:paraId="02EEB6F7" w14:textId="77777777" w:rsidR="00E94285" w:rsidRDefault="00E94285" w:rsidP="00FA67FD">
      <w:pPr>
        <w:pStyle w:val="FootnoteText"/>
      </w:pPr>
      <w:r>
        <w:rPr>
          <w:rStyle w:val="FootnoteReference"/>
        </w:rPr>
        <w:footnoteRef/>
      </w:r>
      <w:r>
        <w:t xml:space="preserve"> </w:t>
      </w:r>
      <w:hyperlink r:id="rId1" w:anchor="gender-pay-differences" w:history="1">
        <w:r>
          <w:rPr>
            <w:rStyle w:val="Hyperlink"/>
            <w:rFonts w:ascii="Lucida Sans" w:hAnsi="Lucida Sans"/>
          </w:rPr>
          <w:t>Annual Survey of Hours and Earnings 2016</w:t>
        </w:r>
      </w:hyperlink>
    </w:p>
  </w:footnote>
  <w:footnote w:id="7">
    <w:p w14:paraId="6F514B54" w14:textId="77777777" w:rsidR="00E94285" w:rsidRDefault="00E94285" w:rsidP="00054F6D">
      <w:pPr>
        <w:pStyle w:val="FootnoteText"/>
        <w:rPr>
          <w:rFonts w:ascii="Calibri" w:hAnsi="Calibri"/>
        </w:rPr>
      </w:pPr>
      <w:r>
        <w:rPr>
          <w:rStyle w:val="FootnoteReference"/>
        </w:rPr>
        <w:footnoteRef/>
      </w:r>
      <w:r>
        <w:t xml:space="preserve"> Quartiles – four equal groups ordered from lowest to highest pay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22658" w14:textId="6F1D05A7" w:rsidR="00E94285" w:rsidRPr="00226795" w:rsidRDefault="00E94285" w:rsidP="00226795">
    <w:pPr>
      <w:pStyle w:val="Header"/>
      <w:jc w:val="right"/>
    </w:pPr>
    <w:r w:rsidRPr="00226795">
      <w:rPr>
        <w:rFonts w:ascii="Montserrat" w:eastAsia="Cynulliad Sans" w:hAnsi="Montserrat" w:cs="Times New Roman"/>
        <w:b/>
      </w:rPr>
      <w:t>Diversity and Inclusion:</w:t>
    </w:r>
    <w:r w:rsidRPr="00226795">
      <w:t xml:space="preserve"> </w:t>
    </w:r>
    <w:r w:rsidRPr="00226795">
      <w:rPr>
        <w:rFonts w:eastAsia="Cynulliad Sans" w:cs="Times New Roman"/>
      </w:rPr>
      <w:t>Annual</w:t>
    </w:r>
    <w:r>
      <w:rPr>
        <w:rFonts w:eastAsia="Cynulliad Sans" w:cs="Times New Roman"/>
      </w:rPr>
      <w:t xml:space="preserve"> Report 2016-17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4A411" w14:textId="77777777" w:rsidR="00E94285" w:rsidRPr="00290A96" w:rsidRDefault="00E94285" w:rsidP="00290A96">
    <w:pPr>
      <w:pStyle w:val="Header"/>
    </w:pPr>
    <w:r w:rsidRPr="00226795">
      <w:rPr>
        <w:rFonts w:ascii="Montserrat" w:eastAsia="Cynulliad Sans" w:hAnsi="Montserrat" w:cs="Times New Roman"/>
        <w:b/>
      </w:rPr>
      <w:t>Diversity and Inclusion:</w:t>
    </w:r>
    <w:r w:rsidRPr="00226795">
      <w:t xml:space="preserve"> </w:t>
    </w:r>
    <w:r w:rsidRPr="00226795">
      <w:rPr>
        <w:rFonts w:eastAsia="Cynulliad Sans" w:cs="Times New Roman"/>
      </w:rPr>
      <w:t>Annual</w:t>
    </w:r>
    <w:r>
      <w:rPr>
        <w:rFonts w:eastAsia="Cynulliad Sans" w:cs="Times New Roman"/>
      </w:rPr>
      <w:t xml:space="preserve"> Report 2016-17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94" type="#_x0000_t75" style="width:34.4pt;height:34.4pt" o:bullet="t">
        <v:imagedata r:id="rId1" o:title="web"/>
      </v:shape>
    </w:pict>
  </w:numPicBullet>
  <w:numPicBullet w:numPicBulletId="1">
    <w:pict>
      <v:shape id="_x0000_i4995" type="#_x0000_t75" style="width:43pt;height:34.4pt" o:bullet="t">
        <v:imagedata r:id="rId2" o:title="twitter"/>
      </v:shape>
    </w:pict>
  </w:numPicBullet>
  <w:numPicBullet w:numPicBulletId="2">
    <w:pict>
      <v:shape id="_x0000_i4996" type="#_x0000_t75" style="width:37.6pt;height:34.4pt" o:bullet="t">
        <v:imagedata r:id="rId3" o:title="email"/>
      </v:shape>
    </w:pict>
  </w:numPicBullet>
  <w:numPicBullet w:numPicBulletId="3">
    <w:pict>
      <v:shape id="_x0000_i4997" type="#_x0000_t75" style="width:31.15pt;height:37.6pt" o:bullet="t">
        <v:imagedata r:id="rId4" o:title="phone"/>
      </v:shape>
    </w:pict>
  </w:numPicBullet>
  <w:numPicBullet w:numPicBulletId="4">
    <w:pict>
      <v:shape id="_x0000_i4998" type="#_x0000_t75" style="width:106.4pt;height:101pt" o:bullet="t">
        <v:imagedata r:id="rId5" o:title="blue-quote"/>
      </v:shape>
    </w:pict>
  </w:numPicBullet>
  <w:abstractNum w:abstractNumId="0" w15:restartNumberingAfterBreak="0">
    <w:nsid w:val="FFFFFF80"/>
    <w:multiLevelType w:val="singleLevel"/>
    <w:tmpl w:val="0C100660"/>
    <w:lvl w:ilvl="0">
      <w:numFmt w:val="bullet"/>
      <w:pStyle w:val="ListBullet5"/>
      <w:lvlText w:val="–"/>
      <w:lvlJc w:val="left"/>
      <w:pPr>
        <w:ind w:left="1492" w:hanging="360"/>
      </w:pPr>
      <w:rPr>
        <w:rFonts w:ascii="Cynulliad Serif" w:eastAsiaTheme="minorHAnsi" w:hAnsi="Cynulliad Serif" w:cstheme="minorBidi" w:hint="default"/>
        <w:b w:val="0"/>
        <w:i w:val="0"/>
        <w:sz w:val="24"/>
      </w:rPr>
    </w:lvl>
  </w:abstractNum>
  <w:abstractNum w:abstractNumId="1" w15:restartNumberingAfterBreak="0">
    <w:nsid w:val="FFFFFF81"/>
    <w:multiLevelType w:val="singleLevel"/>
    <w:tmpl w:val="C924E934"/>
    <w:lvl w:ilvl="0">
      <w:numFmt w:val="bullet"/>
      <w:pStyle w:val="ListBullet4"/>
      <w:lvlText w:val="–"/>
      <w:lvlJc w:val="left"/>
      <w:pPr>
        <w:ind w:left="1209" w:hanging="360"/>
      </w:pPr>
      <w:rPr>
        <w:rFonts w:ascii="Cynulliad Serif" w:eastAsiaTheme="minorHAnsi" w:hAnsi="Cynulliad Serif" w:cstheme="minorBidi" w:hint="default"/>
        <w:b w:val="0"/>
        <w:i w:val="0"/>
        <w:sz w:val="24"/>
      </w:rPr>
    </w:lvl>
  </w:abstractNum>
  <w:abstractNum w:abstractNumId="2" w15:restartNumberingAfterBreak="0">
    <w:nsid w:val="FFFFFF82"/>
    <w:multiLevelType w:val="singleLevel"/>
    <w:tmpl w:val="2CB2FECE"/>
    <w:lvl w:ilvl="0">
      <w:numFmt w:val="bullet"/>
      <w:pStyle w:val="ListBullet3"/>
      <w:lvlText w:val="–"/>
      <w:lvlJc w:val="left"/>
      <w:pPr>
        <w:ind w:left="926" w:hanging="360"/>
      </w:pPr>
      <w:rPr>
        <w:rFonts w:ascii="Cynulliad Serif" w:eastAsiaTheme="minorHAnsi" w:hAnsi="Cynulliad Serif" w:cstheme="minorBidi" w:hint="default"/>
        <w:b w:val="0"/>
        <w:i w:val="0"/>
        <w:sz w:val="24"/>
      </w:rPr>
    </w:lvl>
  </w:abstractNum>
  <w:abstractNum w:abstractNumId="3" w15:restartNumberingAfterBreak="0">
    <w:nsid w:val="FFFFFF83"/>
    <w:multiLevelType w:val="singleLevel"/>
    <w:tmpl w:val="E80CA038"/>
    <w:lvl w:ilvl="0">
      <w:numFmt w:val="bullet"/>
      <w:pStyle w:val="ListBullet2"/>
      <w:lvlText w:val="–"/>
      <w:lvlJc w:val="left"/>
      <w:pPr>
        <w:ind w:left="643" w:hanging="360"/>
      </w:pPr>
      <w:rPr>
        <w:rFonts w:ascii="Cynulliad Serif" w:eastAsiaTheme="minorHAnsi" w:hAnsi="Cynulliad Serif" w:cstheme="minorBidi" w:hint="default"/>
        <w:b w:val="0"/>
        <w:i w:val="0"/>
        <w:sz w:val="24"/>
      </w:rPr>
    </w:lvl>
  </w:abstractNum>
  <w:abstractNum w:abstractNumId="4" w15:restartNumberingAfterBreak="0">
    <w:nsid w:val="FFFFFF88"/>
    <w:multiLevelType w:val="singleLevel"/>
    <w:tmpl w:val="E3D05FE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0FC8ABA2"/>
    <w:lvl w:ilvl="0">
      <w:numFmt w:val="bullet"/>
      <w:pStyle w:val="ListBullet"/>
      <w:lvlText w:val="–"/>
      <w:lvlJc w:val="left"/>
      <w:pPr>
        <w:ind w:left="360" w:hanging="360"/>
      </w:pPr>
      <w:rPr>
        <w:rFonts w:ascii="Cynulliad Serif" w:eastAsiaTheme="minorHAnsi" w:hAnsi="Cynulliad Serif" w:cstheme="minorBidi" w:hint="default"/>
        <w:b w:val="0"/>
        <w:i w:val="0"/>
        <w:sz w:val="24"/>
      </w:rPr>
    </w:lvl>
  </w:abstractNum>
  <w:abstractNum w:abstractNumId="6" w15:restartNumberingAfterBreak="0">
    <w:nsid w:val="00185687"/>
    <w:multiLevelType w:val="hybridMultilevel"/>
    <w:tmpl w:val="5B40FA34"/>
    <w:lvl w:ilvl="0" w:tplc="B40EF1E0">
      <w:numFmt w:val="bullet"/>
      <w:pStyle w:val="ListContinue4"/>
      <w:lvlText w:val="–"/>
      <w:lvlJc w:val="left"/>
      <w:pPr>
        <w:ind w:left="1852"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7" w15:restartNumberingAfterBreak="0">
    <w:nsid w:val="05B93559"/>
    <w:multiLevelType w:val="hybridMultilevel"/>
    <w:tmpl w:val="A542850C"/>
    <w:lvl w:ilvl="0" w:tplc="83EA409C">
      <w:start w:val="1"/>
      <w:numFmt w:val="decimal"/>
      <w:pStyle w:val="3Numbered-paragraph-text"/>
      <w:lvlText w:val="%1."/>
      <w:lvlJc w:val="left"/>
      <w:pPr>
        <w:ind w:left="360" w:hanging="360"/>
      </w:pPr>
      <w:rPr>
        <w:rFonts w:ascii="Montserrat Medium" w:hAnsi="Montserrat Medium" w:hint="default"/>
        <w:b w:val="0"/>
        <w:bCs w:val="0"/>
        <w:i w:val="0"/>
        <w:iCs w:val="0"/>
        <w:caps w:val="0"/>
        <w:strike w:val="0"/>
        <w:dstrike w:val="0"/>
        <w:outline w:val="0"/>
        <w:shadow w:val="0"/>
        <w:emboss w:val="0"/>
        <w:imprint w:val="0"/>
        <w:vanish w:val="0"/>
        <w:color w:val="1A2A57"/>
        <w:spacing w:val="0"/>
        <w:kern w:val="0"/>
        <w:position w:val="0"/>
        <w:sz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1C617F"/>
    <w:multiLevelType w:val="hybridMultilevel"/>
    <w:tmpl w:val="FAD0AF76"/>
    <w:lvl w:ilvl="0" w:tplc="D06EA20E">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9" w15:restartNumberingAfterBreak="0">
    <w:nsid w:val="0FC3641C"/>
    <w:multiLevelType w:val="multilevel"/>
    <w:tmpl w:val="BA62D6EC"/>
    <w:lvl w:ilvl="0">
      <w:start w:val="1"/>
      <w:numFmt w:val="decimalZero"/>
      <w:lvlText w:val="%1."/>
      <w:lvlJc w:val="left"/>
      <w:pPr>
        <w:tabs>
          <w:tab w:val="num" w:pos="680"/>
        </w:tabs>
        <w:ind w:left="505" w:hanging="505"/>
      </w:pPr>
      <w:rPr>
        <w:rFonts w:ascii="Cynulliad Serif" w:hAnsi="Cynulliad Serif" w:hint="default"/>
        <w:b/>
        <w:bCs w:val="0"/>
        <w:i w:val="0"/>
        <w:iCs w:val="0"/>
        <w:caps w:val="0"/>
        <w:smallCaps w:val="0"/>
        <w:strike w:val="0"/>
        <w:dstrike w:val="0"/>
        <w:outline w:val="0"/>
        <w:shadow w:val="0"/>
        <w:emboss w:val="0"/>
        <w:imprint w:val="0"/>
        <w:noProof w:val="0"/>
        <w:vanish w:val="0"/>
        <w:color w:val="151E28"/>
        <w:spacing w:val="0"/>
        <w:kern w:val="0"/>
        <w:position w:val="0"/>
        <w:sz w:val="44"/>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675" w:hanging="675"/>
      </w:pPr>
      <w:rPr>
        <w:rFonts w:ascii="Cynulliad Sans" w:hAnsi="Cynulliad Sans" w:hint="default"/>
        <w:b/>
        <w:i w:val="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600"/>
        </w:tabs>
        <w:ind w:left="3600" w:hanging="720"/>
      </w:pPr>
      <w:rPr>
        <w:rFonts w:hint="default"/>
      </w:rPr>
    </w:lvl>
    <w:lvl w:ilvl="6">
      <w:start w:val="1"/>
      <w:numFmt w:val="decimal"/>
      <w:lvlText w:val="%1.%2.%3.%4.%5.%6.%7."/>
      <w:lvlJc w:val="left"/>
      <w:pPr>
        <w:tabs>
          <w:tab w:val="num" w:pos="4320"/>
        </w:tabs>
        <w:ind w:left="4320" w:hanging="720"/>
      </w:pPr>
      <w:rPr>
        <w:rFonts w:hint="default"/>
      </w:rPr>
    </w:lvl>
    <w:lvl w:ilvl="7">
      <w:start w:val="1"/>
      <w:numFmt w:val="decimal"/>
      <w:lvlText w:val="%1.%2.%3.%4.%5.%6.%7.%8."/>
      <w:lvlJc w:val="left"/>
      <w:pPr>
        <w:tabs>
          <w:tab w:val="num" w:pos="5040"/>
        </w:tabs>
        <w:ind w:left="5040" w:hanging="720"/>
      </w:pPr>
      <w:rPr>
        <w:rFonts w:hint="default"/>
      </w:rPr>
    </w:lvl>
    <w:lvl w:ilvl="8">
      <w:start w:val="1"/>
      <w:numFmt w:val="decimal"/>
      <w:lvlText w:val="%1.%2.%3.%4.%5.%6.%7.%8.%9."/>
      <w:lvlJc w:val="left"/>
      <w:pPr>
        <w:tabs>
          <w:tab w:val="num" w:pos="5760"/>
        </w:tabs>
        <w:ind w:left="5760" w:hanging="720"/>
      </w:pPr>
      <w:rPr>
        <w:rFonts w:hint="default"/>
      </w:rPr>
    </w:lvl>
  </w:abstractNum>
  <w:abstractNum w:abstractNumId="10" w15:restartNumberingAfterBreak="0">
    <w:nsid w:val="0FF13826"/>
    <w:multiLevelType w:val="hybridMultilevel"/>
    <w:tmpl w:val="706C7892"/>
    <w:lvl w:ilvl="0" w:tplc="193A39A8">
      <w:start w:val="1"/>
      <w:numFmt w:val="bullet"/>
      <w:pStyle w:val="5Block-quote-bullet"/>
      <w:lvlText w:val=""/>
      <w:lvlJc w:val="left"/>
      <w:pPr>
        <w:ind w:left="1664" w:hanging="360"/>
      </w:pPr>
      <w:rPr>
        <w:rFonts w:ascii="Wingdings" w:hAnsi="Wingdings" w:hint="default"/>
        <w:color w:val="34A3AE"/>
        <w:sz w:val="24"/>
        <w:szCs w:val="50"/>
      </w:rPr>
    </w:lvl>
    <w:lvl w:ilvl="1" w:tplc="90E88710">
      <w:start w:val="1"/>
      <w:numFmt w:val="bullet"/>
      <w:lvlText w:val=""/>
      <w:lvlJc w:val="left"/>
      <w:pPr>
        <w:ind w:left="1701" w:hanging="397"/>
      </w:pPr>
      <w:rPr>
        <w:rFonts w:ascii="Wingdings" w:hAnsi="Wingdings" w:hint="default"/>
        <w:color w:val="34A3AE"/>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14844DAD"/>
    <w:multiLevelType w:val="hybridMultilevel"/>
    <w:tmpl w:val="EFEA838E"/>
    <w:lvl w:ilvl="0" w:tplc="54246BAC">
      <w:numFmt w:val="bullet"/>
      <w:pStyle w:val="ListContinue"/>
      <w:lvlText w:val="–"/>
      <w:lvlJc w:val="left"/>
      <w:pPr>
        <w:ind w:left="1003"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15982ACF"/>
    <w:multiLevelType w:val="multilevel"/>
    <w:tmpl w:val="48F2DFD2"/>
    <w:lvl w:ilvl="0">
      <w:start w:val="1"/>
      <w:numFmt w:val="decimal"/>
      <w:suff w:val="space"/>
      <w:lvlText w:val="Conclusion %1."/>
      <w:lvlJc w:val="left"/>
      <w:pPr>
        <w:ind w:left="170" w:firstLine="0"/>
      </w:pPr>
      <w:rPr>
        <w:rFonts w:ascii="Montserrat" w:hAnsi="Montserrat" w:hint="default"/>
        <w:b/>
        <w:i w:val="0"/>
        <w:color w:val="005A6A"/>
        <w:sz w:val="24"/>
      </w:rPr>
    </w:lvl>
    <w:lvl w:ilvl="1">
      <w:start w:val="1"/>
      <w:numFmt w:val="bullet"/>
      <w:lvlText w:val=""/>
      <w:lvlJc w:val="left"/>
      <w:pPr>
        <w:ind w:left="1134" w:hanging="567"/>
      </w:pPr>
      <w:rPr>
        <w:rFonts w:ascii="Wingdings" w:hAnsi="Wingdings" w:hint="default"/>
        <w:color w:val="4EA947"/>
      </w:rPr>
    </w:lvl>
    <w:lvl w:ilvl="2">
      <w:start w:val="1"/>
      <w:numFmt w:val="bullet"/>
      <w:lvlText w:val="–"/>
      <w:lvlJc w:val="left"/>
      <w:pPr>
        <w:ind w:left="2160" w:hanging="180"/>
      </w:pPr>
      <w:rPr>
        <w:rFonts w:ascii="Cynulliad Sans" w:hAnsi="Cynulliad Sans" w:hint="default"/>
        <w:color w:val="42A328"/>
      </w:rPr>
    </w:lvl>
    <w:lvl w:ilvl="3">
      <w:start w:val="1"/>
      <w:numFmt w:val="bullet"/>
      <w:lvlText w:val="–"/>
      <w:lvlJc w:val="left"/>
      <w:pPr>
        <w:ind w:left="2880" w:hanging="360"/>
      </w:pPr>
      <w:rPr>
        <w:rFonts w:ascii="Cynulliad Sans" w:hAnsi="Cynulliad Sans" w:hint="default"/>
        <w:color w:val="42A328"/>
      </w:rPr>
    </w:lvl>
    <w:lvl w:ilvl="4">
      <w:start w:val="1"/>
      <w:numFmt w:val="bullet"/>
      <w:lvlText w:val="–"/>
      <w:lvlJc w:val="left"/>
      <w:pPr>
        <w:ind w:left="3600" w:hanging="360"/>
      </w:pPr>
      <w:rPr>
        <w:rFonts w:ascii="Cynulliad Sans" w:hAnsi="Cynulliad Sans" w:hint="default"/>
        <w:color w:val="42A328"/>
      </w:rPr>
    </w:lvl>
    <w:lvl w:ilvl="5">
      <w:start w:val="1"/>
      <w:numFmt w:val="bullet"/>
      <w:lvlText w:val="–"/>
      <w:lvlJc w:val="left"/>
      <w:pPr>
        <w:ind w:left="4320" w:hanging="180"/>
      </w:pPr>
      <w:rPr>
        <w:rFonts w:ascii="Cynulliad Sans" w:hAnsi="Cynulliad Sans" w:hint="default"/>
        <w:color w:val="42A328"/>
      </w:rPr>
    </w:lvl>
    <w:lvl w:ilvl="6">
      <w:start w:val="1"/>
      <w:numFmt w:val="bullet"/>
      <w:lvlText w:val="–"/>
      <w:lvlJc w:val="left"/>
      <w:pPr>
        <w:ind w:left="5040" w:hanging="360"/>
      </w:pPr>
      <w:rPr>
        <w:rFonts w:ascii="Cynulliad Sans" w:hAnsi="Cynulliad Sans" w:hint="default"/>
        <w:color w:val="42A328"/>
      </w:rPr>
    </w:lvl>
    <w:lvl w:ilvl="7">
      <w:start w:val="1"/>
      <w:numFmt w:val="bullet"/>
      <w:lvlText w:val="–"/>
      <w:lvlJc w:val="left"/>
      <w:pPr>
        <w:ind w:left="5760" w:hanging="360"/>
      </w:pPr>
      <w:rPr>
        <w:rFonts w:ascii="Cynulliad Sans" w:hAnsi="Cynulliad Sans" w:hint="default"/>
        <w:color w:val="42A328"/>
      </w:rPr>
    </w:lvl>
    <w:lvl w:ilvl="8">
      <w:start w:val="1"/>
      <w:numFmt w:val="bullet"/>
      <w:lvlText w:val="–"/>
      <w:lvlJc w:val="left"/>
      <w:pPr>
        <w:ind w:left="6480" w:hanging="180"/>
      </w:pPr>
      <w:rPr>
        <w:rFonts w:ascii="Cynulliad Sans" w:hAnsi="Cynulliad Sans" w:hint="default"/>
        <w:color w:val="42A328"/>
      </w:rPr>
    </w:lvl>
  </w:abstractNum>
  <w:abstractNum w:abstractNumId="13" w15:restartNumberingAfterBreak="0">
    <w:nsid w:val="218F2C67"/>
    <w:multiLevelType w:val="hybridMultilevel"/>
    <w:tmpl w:val="FF3641EE"/>
    <w:lvl w:ilvl="0" w:tplc="4DEE2838">
      <w:numFmt w:val="bullet"/>
      <w:pStyle w:val="List4"/>
      <w:lvlText w:val="–"/>
      <w:lvlJc w:val="left"/>
      <w:pPr>
        <w:ind w:left="1569"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14" w15:restartNumberingAfterBreak="0">
    <w:nsid w:val="240519F9"/>
    <w:multiLevelType w:val="multilevel"/>
    <w:tmpl w:val="0809001D"/>
    <w:styleLink w:val="1ai"/>
    <w:lvl w:ilvl="0">
      <w:start w:val="1"/>
      <w:numFmt w:val="bullet"/>
      <w:lvlText w:val="–"/>
      <w:lvlJc w:val="left"/>
      <w:pPr>
        <w:ind w:left="360" w:hanging="360"/>
      </w:pPr>
      <w:rPr>
        <w:rFonts w:ascii="Cynulliad Serif" w:hAnsi="Cynulliad Serif" w:hint="default"/>
        <w:color w:val="41404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46F6E00"/>
    <w:multiLevelType w:val="hybridMultilevel"/>
    <w:tmpl w:val="D47C4A2E"/>
    <w:lvl w:ilvl="0" w:tplc="F392C2AC">
      <w:numFmt w:val="bullet"/>
      <w:pStyle w:val="ListContinue3"/>
      <w:lvlText w:val="–"/>
      <w:lvlJc w:val="left"/>
      <w:pPr>
        <w:ind w:left="1569"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16" w15:restartNumberingAfterBreak="0">
    <w:nsid w:val="2F672CEC"/>
    <w:multiLevelType w:val="hybridMultilevel"/>
    <w:tmpl w:val="2AAE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D77BDA"/>
    <w:multiLevelType w:val="multilevel"/>
    <w:tmpl w:val="0809001F"/>
    <w:styleLink w:val="111111"/>
    <w:lvl w:ilvl="0">
      <w:start w:val="1"/>
      <w:numFmt w:val="decimal"/>
      <w:lvlText w:val="%1."/>
      <w:lvlJc w:val="left"/>
      <w:pPr>
        <w:ind w:left="360" w:hanging="360"/>
      </w:pPr>
      <w:rPr>
        <w:color w:val="41404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C41AE5"/>
    <w:multiLevelType w:val="hybridMultilevel"/>
    <w:tmpl w:val="DA2EAADA"/>
    <w:lvl w:ilvl="0" w:tplc="B78E3A7E">
      <w:numFmt w:val="bullet"/>
      <w:pStyle w:val="List2"/>
      <w:lvlText w:val="–"/>
      <w:lvlJc w:val="left"/>
      <w:pPr>
        <w:ind w:left="1003" w:hanging="360"/>
      </w:pPr>
      <w:rPr>
        <w:rFonts w:ascii="Cynulliad Serif" w:hAnsi="Cynulliad Serif" w:cstheme="minorBidi" w:hint="default"/>
        <w:b w:val="0"/>
        <w:i w:val="0"/>
        <w:sz w:val="24"/>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9" w15:restartNumberingAfterBreak="0">
    <w:nsid w:val="3B684944"/>
    <w:multiLevelType w:val="hybridMultilevel"/>
    <w:tmpl w:val="B60A5426"/>
    <w:lvl w:ilvl="0" w:tplc="B34CE422">
      <w:start w:val="1"/>
      <w:numFmt w:val="bullet"/>
      <w:pStyle w:val="9twitter-lis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C2F4F"/>
    <w:multiLevelType w:val="hybridMultilevel"/>
    <w:tmpl w:val="5F70D562"/>
    <w:lvl w:ilvl="0" w:tplc="01F428AA">
      <w:start w:val="1"/>
      <w:numFmt w:val="bullet"/>
      <w:pStyle w:val="9web-lis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371C32"/>
    <w:multiLevelType w:val="hybridMultilevel"/>
    <w:tmpl w:val="CF46541C"/>
    <w:lvl w:ilvl="0" w:tplc="0F84A062">
      <w:numFmt w:val="bullet"/>
      <w:pStyle w:val="List5"/>
      <w:lvlText w:val="–"/>
      <w:lvlJc w:val="left"/>
      <w:pPr>
        <w:ind w:left="1852"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22" w15:restartNumberingAfterBreak="0">
    <w:nsid w:val="433C1C40"/>
    <w:multiLevelType w:val="hybridMultilevel"/>
    <w:tmpl w:val="97EE311E"/>
    <w:lvl w:ilvl="0" w:tplc="74347DD4">
      <w:start w:val="1"/>
      <w:numFmt w:val="bullet"/>
      <w:pStyle w:val="9email-lis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A5248C"/>
    <w:multiLevelType w:val="hybridMultilevel"/>
    <w:tmpl w:val="5F00E43E"/>
    <w:lvl w:ilvl="0" w:tplc="2EB40976">
      <w:start w:val="1"/>
      <w:numFmt w:val="bullet"/>
      <w:pStyle w:val="4Bulletlist"/>
      <w:lvlText w:val=""/>
      <w:lvlJc w:val="left"/>
      <w:pPr>
        <w:ind w:left="927" w:hanging="360"/>
      </w:pPr>
      <w:rPr>
        <w:rFonts w:ascii="Wingdings" w:hAnsi="Wingdings" w:hint="default"/>
        <w:color w:val="34A3AE"/>
      </w:rPr>
    </w:lvl>
    <w:lvl w:ilvl="1" w:tplc="2BD4D7FC">
      <w:start w:val="1"/>
      <w:numFmt w:val="bullet"/>
      <w:suff w:val="space"/>
      <w:lvlText w:val=""/>
      <w:lvlJc w:val="left"/>
      <w:pPr>
        <w:ind w:left="1043" w:hanging="192"/>
      </w:pPr>
      <w:rPr>
        <w:rFonts w:ascii="Symbol" w:hAnsi="Symbol" w:hint="default"/>
      </w:rPr>
    </w:lvl>
    <w:lvl w:ilvl="2" w:tplc="3200B714">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8982476"/>
    <w:multiLevelType w:val="multilevel"/>
    <w:tmpl w:val="08090023"/>
    <w:styleLink w:val="ArticleSection"/>
    <w:lvl w:ilvl="0">
      <w:start w:val="1"/>
      <w:numFmt w:val="upperRoman"/>
      <w:lvlText w:val="Article %1."/>
      <w:lvlJc w:val="left"/>
      <w:pPr>
        <w:ind w:left="0" w:firstLine="0"/>
      </w:pPr>
      <w:rPr>
        <w:color w:val="414042"/>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527F24ED"/>
    <w:multiLevelType w:val="hybridMultilevel"/>
    <w:tmpl w:val="0D061C90"/>
    <w:lvl w:ilvl="0" w:tplc="3C66A494">
      <w:numFmt w:val="bullet"/>
      <w:pStyle w:val="List3"/>
      <w:lvlText w:val="–"/>
      <w:lvlJc w:val="left"/>
      <w:pPr>
        <w:ind w:left="1286"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6" w15:restartNumberingAfterBreak="0">
    <w:nsid w:val="52D04D58"/>
    <w:multiLevelType w:val="hybridMultilevel"/>
    <w:tmpl w:val="282439C2"/>
    <w:lvl w:ilvl="0" w:tplc="AA4E26D8">
      <w:numFmt w:val="bullet"/>
      <w:pStyle w:val="ListContinue5"/>
      <w:lvlText w:val="–"/>
      <w:lvlJc w:val="left"/>
      <w:pPr>
        <w:ind w:left="2135"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855" w:hanging="360"/>
      </w:pPr>
      <w:rPr>
        <w:rFonts w:ascii="Courier New" w:hAnsi="Courier New" w:cs="Courier New" w:hint="default"/>
      </w:rPr>
    </w:lvl>
    <w:lvl w:ilvl="2" w:tplc="08090005" w:tentative="1">
      <w:start w:val="1"/>
      <w:numFmt w:val="bullet"/>
      <w:lvlText w:val=""/>
      <w:lvlJc w:val="left"/>
      <w:pPr>
        <w:ind w:left="3575" w:hanging="360"/>
      </w:pPr>
      <w:rPr>
        <w:rFonts w:ascii="Wingdings" w:hAnsi="Wingdings" w:hint="default"/>
      </w:rPr>
    </w:lvl>
    <w:lvl w:ilvl="3" w:tplc="08090001" w:tentative="1">
      <w:start w:val="1"/>
      <w:numFmt w:val="bullet"/>
      <w:lvlText w:val=""/>
      <w:lvlJc w:val="left"/>
      <w:pPr>
        <w:ind w:left="4295" w:hanging="360"/>
      </w:pPr>
      <w:rPr>
        <w:rFonts w:ascii="Symbol" w:hAnsi="Symbol" w:hint="default"/>
      </w:rPr>
    </w:lvl>
    <w:lvl w:ilvl="4" w:tplc="08090003" w:tentative="1">
      <w:start w:val="1"/>
      <w:numFmt w:val="bullet"/>
      <w:lvlText w:val="o"/>
      <w:lvlJc w:val="left"/>
      <w:pPr>
        <w:ind w:left="5015" w:hanging="360"/>
      </w:pPr>
      <w:rPr>
        <w:rFonts w:ascii="Courier New" w:hAnsi="Courier New" w:cs="Courier New" w:hint="default"/>
      </w:rPr>
    </w:lvl>
    <w:lvl w:ilvl="5" w:tplc="08090005" w:tentative="1">
      <w:start w:val="1"/>
      <w:numFmt w:val="bullet"/>
      <w:lvlText w:val=""/>
      <w:lvlJc w:val="left"/>
      <w:pPr>
        <w:ind w:left="5735" w:hanging="360"/>
      </w:pPr>
      <w:rPr>
        <w:rFonts w:ascii="Wingdings" w:hAnsi="Wingdings" w:hint="default"/>
      </w:rPr>
    </w:lvl>
    <w:lvl w:ilvl="6" w:tplc="08090001" w:tentative="1">
      <w:start w:val="1"/>
      <w:numFmt w:val="bullet"/>
      <w:lvlText w:val=""/>
      <w:lvlJc w:val="left"/>
      <w:pPr>
        <w:ind w:left="6455" w:hanging="360"/>
      </w:pPr>
      <w:rPr>
        <w:rFonts w:ascii="Symbol" w:hAnsi="Symbol" w:hint="default"/>
      </w:rPr>
    </w:lvl>
    <w:lvl w:ilvl="7" w:tplc="08090003" w:tentative="1">
      <w:start w:val="1"/>
      <w:numFmt w:val="bullet"/>
      <w:lvlText w:val="o"/>
      <w:lvlJc w:val="left"/>
      <w:pPr>
        <w:ind w:left="7175" w:hanging="360"/>
      </w:pPr>
      <w:rPr>
        <w:rFonts w:ascii="Courier New" w:hAnsi="Courier New" w:cs="Courier New" w:hint="default"/>
      </w:rPr>
    </w:lvl>
    <w:lvl w:ilvl="8" w:tplc="08090005" w:tentative="1">
      <w:start w:val="1"/>
      <w:numFmt w:val="bullet"/>
      <w:lvlText w:val=""/>
      <w:lvlJc w:val="left"/>
      <w:pPr>
        <w:ind w:left="7895" w:hanging="360"/>
      </w:pPr>
      <w:rPr>
        <w:rFonts w:ascii="Wingdings" w:hAnsi="Wingdings" w:hint="default"/>
      </w:rPr>
    </w:lvl>
  </w:abstractNum>
  <w:abstractNum w:abstractNumId="27" w15:restartNumberingAfterBreak="0">
    <w:nsid w:val="5B0100B3"/>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52A579E"/>
    <w:multiLevelType w:val="hybridMultilevel"/>
    <w:tmpl w:val="0BF88560"/>
    <w:lvl w:ilvl="0" w:tplc="60C6E3D8">
      <w:start w:val="1"/>
      <w:numFmt w:val="decimal"/>
      <w:lvlText w:val="%1."/>
      <w:lvlJc w:val="left"/>
      <w:pPr>
        <w:ind w:left="360" w:hanging="360"/>
      </w:pPr>
      <w:rPr>
        <w:rFonts w:ascii="Cynulliad Serif" w:hAnsi="Cynulliad Serif" w:hint="default"/>
        <w:b/>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A86847"/>
    <w:multiLevelType w:val="hybridMultilevel"/>
    <w:tmpl w:val="67FEE122"/>
    <w:lvl w:ilvl="0" w:tplc="DA18619A">
      <w:start w:val="1"/>
      <w:numFmt w:val="bullet"/>
      <w:suff w:val="space"/>
      <w:lvlText w:val=""/>
      <w:lvlJc w:val="left"/>
      <w:pPr>
        <w:ind w:left="1440" w:hanging="360"/>
      </w:pPr>
      <w:rPr>
        <w:rFonts w:ascii="Symbol" w:hAnsi="Symbol" w:hint="default"/>
      </w:rPr>
    </w:lvl>
    <w:lvl w:ilvl="1" w:tplc="B128BDA4">
      <w:start w:val="1"/>
      <w:numFmt w:val="bullet"/>
      <w:suff w:val="space"/>
      <w:lvlText w:val=""/>
      <w:lvlJc w:val="left"/>
      <w:pPr>
        <w:ind w:left="1043" w:hanging="192"/>
      </w:pPr>
      <w:rPr>
        <w:rFonts w:ascii="Symbol" w:hAnsi="Symbol" w:hint="default"/>
      </w:rPr>
    </w:lvl>
    <w:lvl w:ilvl="2" w:tplc="B9D234EE">
      <w:start w:val="1"/>
      <w:numFmt w:val="bullet"/>
      <w:suff w:val="space"/>
      <w:lvlText w:val=""/>
      <w:lvlJc w:val="left"/>
      <w:pPr>
        <w:ind w:left="1899" w:hanging="198"/>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3C75D67"/>
    <w:multiLevelType w:val="hybridMultilevel"/>
    <w:tmpl w:val="F53CB730"/>
    <w:lvl w:ilvl="0" w:tplc="4AD67DB0">
      <w:start w:val="1"/>
      <w:numFmt w:val="bullet"/>
      <w:pStyle w:val="Style1"/>
      <w:lvlText w:val=""/>
      <w:lvlPicBulletId w:val="4"/>
      <w:lvlJc w:val="left"/>
      <w:pPr>
        <w:ind w:left="1967" w:hanging="360"/>
      </w:pPr>
      <w:rPr>
        <w:rFonts w:ascii="Symbol" w:hAnsi="Symbol" w:hint="default"/>
        <w:color w:val="auto"/>
        <w:sz w:val="72"/>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1" w15:restartNumberingAfterBreak="0">
    <w:nsid w:val="73F6695F"/>
    <w:multiLevelType w:val="hybridMultilevel"/>
    <w:tmpl w:val="3BF2144C"/>
    <w:lvl w:ilvl="0" w:tplc="099AD120">
      <w:start w:val="1"/>
      <w:numFmt w:val="decimal"/>
      <w:pStyle w:val="4Numberlist"/>
      <w:lvlText w:val="%1."/>
      <w:lvlJc w:val="left"/>
      <w:pPr>
        <w:ind w:left="927" w:hanging="360"/>
      </w:pPr>
      <w:rPr>
        <w:rFonts w:ascii="Montserrat Medium" w:hAnsi="Montserrat Medium" w:hint="default"/>
        <w:b w:val="0"/>
        <w:bCs w:val="0"/>
        <w:i w:val="0"/>
        <w:iCs w:val="0"/>
        <w:caps w:val="0"/>
        <w:smallCaps w:val="0"/>
        <w:strike w:val="0"/>
        <w:dstrike w:val="0"/>
        <w:outline w:val="0"/>
        <w:shadow w:val="0"/>
        <w:emboss w:val="0"/>
        <w:imprint w:val="0"/>
        <w:noProof w:val="0"/>
        <w:vanish w:val="0"/>
        <w:color w:val="34A3AE"/>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2" w15:restartNumberingAfterBreak="0">
    <w:nsid w:val="75C01DD9"/>
    <w:multiLevelType w:val="hybridMultilevel"/>
    <w:tmpl w:val="6BAE50FC"/>
    <w:lvl w:ilvl="0" w:tplc="DA18619A">
      <w:start w:val="1"/>
      <w:numFmt w:val="bullet"/>
      <w:suff w:val="space"/>
      <w:lvlText w:val=""/>
      <w:lvlJc w:val="left"/>
      <w:pPr>
        <w:ind w:left="1440" w:hanging="360"/>
      </w:pPr>
      <w:rPr>
        <w:rFonts w:ascii="Symbol" w:hAnsi="Symbol" w:hint="default"/>
      </w:rPr>
    </w:lvl>
    <w:lvl w:ilvl="1" w:tplc="37EEF39A">
      <w:start w:val="1"/>
      <w:numFmt w:val="bullet"/>
      <w:suff w:val="space"/>
      <w:lvlText w:val=""/>
      <w:lvlJc w:val="left"/>
      <w:pPr>
        <w:ind w:left="1049" w:hanging="198"/>
      </w:pPr>
      <w:rPr>
        <w:rFonts w:ascii="Symbol" w:hAnsi="Symbol" w:hint="default"/>
      </w:rPr>
    </w:lvl>
    <w:lvl w:ilvl="2" w:tplc="FD1A79E6">
      <w:start w:val="1"/>
      <w:numFmt w:val="bullet"/>
      <w:suff w:val="space"/>
      <w:lvlText w:val=""/>
      <w:lvlJc w:val="left"/>
      <w:pPr>
        <w:ind w:left="737" w:firstLine="964"/>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8A4788A"/>
    <w:multiLevelType w:val="multilevel"/>
    <w:tmpl w:val="D414A768"/>
    <w:lvl w:ilvl="0">
      <w:start w:val="1"/>
      <w:numFmt w:val="decimal"/>
      <w:pStyle w:val="1Numbered-Heading"/>
      <w:suff w:val="space"/>
      <w:lvlText w:val="%1."/>
      <w:lvlJc w:val="left"/>
      <w:pPr>
        <w:ind w:left="680" w:hanging="680"/>
      </w:pPr>
      <w:rPr>
        <w:rFonts w:hint="default"/>
      </w:rPr>
    </w:lvl>
    <w:lvl w:ilvl="1">
      <w:start w:val="1"/>
      <w:numFmt w:val="decimal"/>
      <w:pStyle w:val="2Numbered-sub-heading"/>
      <w:suff w:val="space"/>
      <w:lvlText w:val="%1. %2."/>
      <w:lvlJc w:val="left"/>
      <w:pPr>
        <w:ind w:left="680"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B176449"/>
    <w:multiLevelType w:val="multilevel"/>
    <w:tmpl w:val="ABEE38FE"/>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BE95D7B"/>
    <w:multiLevelType w:val="multilevel"/>
    <w:tmpl w:val="1E76E3CA"/>
    <w:lvl w:ilvl="0">
      <w:start w:val="1"/>
      <w:numFmt w:val="decimal"/>
      <w:suff w:val="space"/>
      <w:lvlText w:val="Recommendation %1."/>
      <w:lvlJc w:val="left"/>
      <w:pPr>
        <w:ind w:left="170" w:firstLine="0"/>
      </w:pPr>
      <w:rPr>
        <w:rFonts w:ascii="Montserrat" w:hAnsi="Montserrat" w:hint="default"/>
        <w:b/>
        <w:i w:val="0"/>
        <w:color w:val="005A6A"/>
        <w:spacing w:val="6"/>
        <w:sz w:val="24"/>
      </w:rPr>
    </w:lvl>
    <w:lvl w:ilvl="1">
      <w:start w:val="1"/>
      <w:numFmt w:val="bullet"/>
      <w:lvlText w:val=""/>
      <w:lvlJc w:val="left"/>
      <w:pPr>
        <w:ind w:left="1134" w:hanging="567"/>
      </w:pPr>
      <w:rPr>
        <w:rFonts w:ascii="Wingdings" w:hAnsi="Wingdings" w:hint="default"/>
        <w:color w:val="4EA947"/>
      </w:rPr>
    </w:lvl>
    <w:lvl w:ilvl="2">
      <w:start w:val="1"/>
      <w:numFmt w:val="bullet"/>
      <w:lvlText w:val="–"/>
      <w:lvlJc w:val="left"/>
      <w:pPr>
        <w:ind w:left="2268" w:firstLine="0"/>
      </w:pPr>
      <w:rPr>
        <w:rFonts w:ascii="Cynulliad Sans" w:hAnsi="Cynulliad Sans" w:hint="default"/>
        <w:color w:val="42A328"/>
      </w:rPr>
    </w:lvl>
    <w:lvl w:ilvl="3">
      <w:start w:val="1"/>
      <w:numFmt w:val="bullet"/>
      <w:lvlText w:val="–"/>
      <w:lvlJc w:val="left"/>
      <w:pPr>
        <w:ind w:left="3402" w:firstLine="0"/>
      </w:pPr>
      <w:rPr>
        <w:rFonts w:ascii="Cynulliad Sans" w:hAnsi="Cynulliad Sans" w:hint="default"/>
        <w:color w:val="42A328"/>
      </w:rPr>
    </w:lvl>
    <w:lvl w:ilvl="4">
      <w:start w:val="1"/>
      <w:numFmt w:val="bullet"/>
      <w:lvlText w:val="–"/>
      <w:lvlJc w:val="left"/>
      <w:pPr>
        <w:ind w:left="4536" w:firstLine="0"/>
      </w:pPr>
      <w:rPr>
        <w:rFonts w:ascii="Cynulliad Sans" w:hAnsi="Cynulliad Sans" w:hint="default"/>
        <w:color w:val="42A328"/>
      </w:rPr>
    </w:lvl>
    <w:lvl w:ilvl="5">
      <w:start w:val="1"/>
      <w:numFmt w:val="bullet"/>
      <w:lvlText w:val="–"/>
      <w:lvlJc w:val="left"/>
      <w:pPr>
        <w:ind w:left="5670" w:firstLine="0"/>
      </w:pPr>
      <w:rPr>
        <w:rFonts w:ascii="Cynulliad Sans" w:hAnsi="Cynulliad Sans" w:hint="default"/>
        <w:color w:val="42A328"/>
      </w:rPr>
    </w:lvl>
    <w:lvl w:ilvl="6">
      <w:start w:val="1"/>
      <w:numFmt w:val="bullet"/>
      <w:lvlText w:val="–"/>
      <w:lvlJc w:val="left"/>
      <w:pPr>
        <w:ind w:left="6804" w:firstLine="0"/>
      </w:pPr>
      <w:rPr>
        <w:rFonts w:ascii="Cynulliad Sans" w:hAnsi="Cynulliad Sans" w:hint="default"/>
        <w:color w:val="42A328"/>
      </w:rPr>
    </w:lvl>
    <w:lvl w:ilvl="7">
      <w:start w:val="1"/>
      <w:numFmt w:val="bullet"/>
      <w:lvlText w:val="–"/>
      <w:lvlJc w:val="left"/>
      <w:pPr>
        <w:ind w:left="7938" w:firstLine="0"/>
      </w:pPr>
      <w:rPr>
        <w:rFonts w:ascii="Cynulliad Sans" w:hAnsi="Cynulliad Sans" w:hint="default"/>
        <w:color w:val="42A328"/>
      </w:rPr>
    </w:lvl>
    <w:lvl w:ilvl="8">
      <w:start w:val="1"/>
      <w:numFmt w:val="bullet"/>
      <w:lvlText w:val="–"/>
      <w:lvlJc w:val="left"/>
      <w:pPr>
        <w:ind w:left="9072" w:firstLine="0"/>
      </w:pPr>
      <w:rPr>
        <w:rFonts w:ascii="Cynulliad Sans" w:hAnsi="Cynulliad Sans" w:hint="default"/>
        <w:color w:val="42A328"/>
      </w:rPr>
    </w:lvl>
  </w:abstractNum>
  <w:abstractNum w:abstractNumId="36" w15:restartNumberingAfterBreak="0">
    <w:nsid w:val="7D2A7737"/>
    <w:multiLevelType w:val="hybridMultilevel"/>
    <w:tmpl w:val="6CEE794C"/>
    <w:lvl w:ilvl="0" w:tplc="AAD2CE26">
      <w:numFmt w:val="bullet"/>
      <w:pStyle w:val="ListContinue2"/>
      <w:lvlText w:val="–"/>
      <w:lvlJc w:val="left"/>
      <w:pPr>
        <w:ind w:left="1286"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7" w15:restartNumberingAfterBreak="0">
    <w:nsid w:val="7D976CD3"/>
    <w:multiLevelType w:val="hybridMultilevel"/>
    <w:tmpl w:val="BE12431E"/>
    <w:lvl w:ilvl="0" w:tplc="0FB86236">
      <w:start w:val="1"/>
      <w:numFmt w:val="bullet"/>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4"/>
  </w:num>
  <w:num w:numId="3">
    <w:abstractNumId w:val="23"/>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9"/>
  </w:num>
  <w:num w:numId="7">
    <w:abstractNumId w:val="22"/>
  </w:num>
  <w:num w:numId="8">
    <w:abstractNumId w:val="37"/>
  </w:num>
  <w:num w:numId="9">
    <w:abstractNumId w:val="16"/>
  </w:num>
  <w:num w:numId="10">
    <w:abstractNumId w:val="8"/>
  </w:num>
  <w:num w:numId="11">
    <w:abstractNumId w:val="28"/>
  </w:num>
  <w:num w:numId="12">
    <w:abstractNumId w:val="9"/>
  </w:num>
  <w:num w:numId="13">
    <w:abstractNumId w:val="4"/>
  </w:num>
  <w:num w:numId="14">
    <w:abstractNumId w:val="9"/>
    <w:lvlOverride w:ilvl="0">
      <w:lvl w:ilvl="0">
        <w:start w:val="1"/>
        <w:numFmt w:val="decimalZero"/>
        <w:suff w:val="space"/>
        <w:lvlText w:val="%1."/>
        <w:lvlJc w:val="left"/>
        <w:pPr>
          <w:ind w:left="539" w:hanging="539"/>
        </w:pPr>
        <w:rPr>
          <w:rFonts w:hint="default"/>
          <w:b/>
          <w:i w:val="0"/>
          <w:color w:val="1E463A"/>
        </w:rPr>
      </w:lvl>
    </w:lvlOverride>
    <w:lvlOverride w:ilvl="1">
      <w:lvl w:ilvl="1">
        <w:start w:val="1"/>
        <w:numFmt w:val="decimal"/>
        <w:suff w:val="space"/>
        <w:lvlText w:val="%1.%2."/>
        <w:lvlJc w:val="left"/>
        <w:pPr>
          <w:ind w:left="567" w:hanging="567"/>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5">
    <w:abstractNumId w:val="9"/>
    <w:lvlOverride w:ilvl="0">
      <w:lvl w:ilvl="0">
        <w:start w:val="1"/>
        <w:numFmt w:val="decimalZero"/>
        <w:suff w:val="space"/>
        <w:lvlText w:val="%1."/>
        <w:lvlJc w:val="left"/>
        <w:pPr>
          <w:ind w:left="539" w:hanging="539"/>
        </w:pPr>
        <w:rPr>
          <w:rFonts w:hint="default"/>
          <w:b/>
          <w:i w:val="0"/>
          <w:color w:val="1E463A"/>
        </w:rPr>
      </w:lvl>
    </w:lvlOverride>
    <w:lvlOverride w:ilvl="1">
      <w:lvl w:ilvl="1">
        <w:start w:val="1"/>
        <w:numFmt w:val="decimal"/>
        <w:suff w:val="space"/>
        <w:lvlText w:val="%1.%2."/>
        <w:lvlJc w:val="left"/>
        <w:pPr>
          <w:ind w:left="652" w:hanging="652"/>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6">
    <w:abstractNumId w:val="9"/>
    <w:lvlOverride w:ilvl="0">
      <w:lvl w:ilvl="0">
        <w:start w:val="1"/>
        <w:numFmt w:val="decimalZero"/>
        <w:suff w:val="space"/>
        <w:lvlText w:val="%1."/>
        <w:lvlJc w:val="left"/>
        <w:pPr>
          <w:ind w:left="539" w:hanging="539"/>
        </w:pPr>
        <w:rPr>
          <w:rFonts w:hint="default"/>
          <w:b/>
          <w:i w:val="0"/>
          <w:color w:val="1E463A"/>
        </w:rPr>
      </w:lvl>
    </w:lvlOverride>
    <w:lvlOverride w:ilvl="1">
      <w:lvl w:ilvl="1">
        <w:start w:val="1"/>
        <w:numFmt w:val="decimal"/>
        <w:suff w:val="space"/>
        <w:lvlText w:val="%1.%2."/>
        <w:lvlJc w:val="left"/>
        <w:pPr>
          <w:ind w:left="663" w:hanging="663"/>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7">
    <w:abstractNumId w:val="32"/>
  </w:num>
  <w:num w:numId="18">
    <w:abstractNumId w:val="29"/>
  </w:num>
  <w:num w:numId="19">
    <w:abstractNumId w:val="17"/>
  </w:num>
  <w:num w:numId="20">
    <w:abstractNumId w:val="14"/>
  </w:num>
  <w:num w:numId="21">
    <w:abstractNumId w:val="33"/>
  </w:num>
  <w:num w:numId="22">
    <w:abstractNumId w:val="7"/>
  </w:num>
  <w:num w:numId="23">
    <w:abstractNumId w:val="10"/>
  </w:num>
  <w:num w:numId="24">
    <w:abstractNumId w:val="35"/>
  </w:num>
  <w:num w:numId="25">
    <w:abstractNumId w:val="12"/>
  </w:num>
  <w:num w:numId="26">
    <w:abstractNumId w:val="18"/>
  </w:num>
  <w:num w:numId="27">
    <w:abstractNumId w:val="25"/>
  </w:num>
  <w:num w:numId="28">
    <w:abstractNumId w:val="13"/>
  </w:num>
  <w:num w:numId="29">
    <w:abstractNumId w:val="21"/>
  </w:num>
  <w:num w:numId="30">
    <w:abstractNumId w:val="5"/>
  </w:num>
  <w:num w:numId="31">
    <w:abstractNumId w:val="3"/>
  </w:num>
  <w:num w:numId="32">
    <w:abstractNumId w:val="2"/>
  </w:num>
  <w:num w:numId="33">
    <w:abstractNumId w:val="1"/>
  </w:num>
  <w:num w:numId="34">
    <w:abstractNumId w:val="0"/>
  </w:num>
  <w:num w:numId="35">
    <w:abstractNumId w:val="11"/>
  </w:num>
  <w:num w:numId="36">
    <w:abstractNumId w:val="36"/>
  </w:num>
  <w:num w:numId="37">
    <w:abstractNumId w:val="15"/>
  </w:num>
  <w:num w:numId="38">
    <w:abstractNumId w:val="6"/>
  </w:num>
  <w:num w:numId="39">
    <w:abstractNumId w:val="26"/>
  </w:num>
  <w:num w:numId="40">
    <w:abstractNumId w:val="27"/>
  </w:num>
  <w:num w:numId="41">
    <w:abstractNumId w:val="24"/>
  </w:num>
  <w:num w:numId="42">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linkStyle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8F9"/>
    <w:rsid w:val="000217B4"/>
    <w:rsid w:val="00024826"/>
    <w:rsid w:val="000327D2"/>
    <w:rsid w:val="00050E6E"/>
    <w:rsid w:val="00052C90"/>
    <w:rsid w:val="00054F6D"/>
    <w:rsid w:val="00082485"/>
    <w:rsid w:val="0008304D"/>
    <w:rsid w:val="000B46DB"/>
    <w:rsid w:val="000B56BE"/>
    <w:rsid w:val="000B5D44"/>
    <w:rsid w:val="000E3F97"/>
    <w:rsid w:val="000F4744"/>
    <w:rsid w:val="00101498"/>
    <w:rsid w:val="0010493A"/>
    <w:rsid w:val="00107355"/>
    <w:rsid w:val="00110E54"/>
    <w:rsid w:val="0011457F"/>
    <w:rsid w:val="00116A19"/>
    <w:rsid w:val="001259D4"/>
    <w:rsid w:val="00140B2F"/>
    <w:rsid w:val="0014150F"/>
    <w:rsid w:val="00173A53"/>
    <w:rsid w:val="00181796"/>
    <w:rsid w:val="00184FD5"/>
    <w:rsid w:val="001900BD"/>
    <w:rsid w:val="00192500"/>
    <w:rsid w:val="001A37B0"/>
    <w:rsid w:val="001B5ACC"/>
    <w:rsid w:val="001D1116"/>
    <w:rsid w:val="00211CE6"/>
    <w:rsid w:val="00226795"/>
    <w:rsid w:val="002371C4"/>
    <w:rsid w:val="002376C9"/>
    <w:rsid w:val="002510FF"/>
    <w:rsid w:val="002750CC"/>
    <w:rsid w:val="00282744"/>
    <w:rsid w:val="00290A96"/>
    <w:rsid w:val="0029729E"/>
    <w:rsid w:val="002A2316"/>
    <w:rsid w:val="002B670B"/>
    <w:rsid w:val="002C79E7"/>
    <w:rsid w:val="002D16C3"/>
    <w:rsid w:val="002D2897"/>
    <w:rsid w:val="002D5240"/>
    <w:rsid w:val="002E4FB6"/>
    <w:rsid w:val="002F7ECA"/>
    <w:rsid w:val="00317540"/>
    <w:rsid w:val="00327FD3"/>
    <w:rsid w:val="00332158"/>
    <w:rsid w:val="00340FBC"/>
    <w:rsid w:val="00346A3B"/>
    <w:rsid w:val="00346BAA"/>
    <w:rsid w:val="00356A56"/>
    <w:rsid w:val="003575BF"/>
    <w:rsid w:val="00382E75"/>
    <w:rsid w:val="003937BD"/>
    <w:rsid w:val="003C6678"/>
    <w:rsid w:val="003C7465"/>
    <w:rsid w:val="00400465"/>
    <w:rsid w:val="00414B9B"/>
    <w:rsid w:val="00427272"/>
    <w:rsid w:val="00443E76"/>
    <w:rsid w:val="004616B2"/>
    <w:rsid w:val="00467086"/>
    <w:rsid w:val="00473B51"/>
    <w:rsid w:val="00493E4B"/>
    <w:rsid w:val="004A7B4E"/>
    <w:rsid w:val="004C6E91"/>
    <w:rsid w:val="0050584F"/>
    <w:rsid w:val="00515685"/>
    <w:rsid w:val="00521895"/>
    <w:rsid w:val="00523398"/>
    <w:rsid w:val="00523CC1"/>
    <w:rsid w:val="00527910"/>
    <w:rsid w:val="00542A00"/>
    <w:rsid w:val="00545E12"/>
    <w:rsid w:val="005544D8"/>
    <w:rsid w:val="00556C9B"/>
    <w:rsid w:val="00576475"/>
    <w:rsid w:val="0058742F"/>
    <w:rsid w:val="005A5A9F"/>
    <w:rsid w:val="005B128F"/>
    <w:rsid w:val="005F2904"/>
    <w:rsid w:val="005F7C12"/>
    <w:rsid w:val="006114D6"/>
    <w:rsid w:val="00616F86"/>
    <w:rsid w:val="00630025"/>
    <w:rsid w:val="006301C6"/>
    <w:rsid w:val="00634FE8"/>
    <w:rsid w:val="006420A6"/>
    <w:rsid w:val="00644024"/>
    <w:rsid w:val="006552D2"/>
    <w:rsid w:val="006655F9"/>
    <w:rsid w:val="00677FAB"/>
    <w:rsid w:val="006856CD"/>
    <w:rsid w:val="0069409B"/>
    <w:rsid w:val="006957AC"/>
    <w:rsid w:val="006A5042"/>
    <w:rsid w:val="006C5448"/>
    <w:rsid w:val="006C65CD"/>
    <w:rsid w:val="006C65F7"/>
    <w:rsid w:val="006C6604"/>
    <w:rsid w:val="006C675E"/>
    <w:rsid w:val="006C6B45"/>
    <w:rsid w:val="006D6CCF"/>
    <w:rsid w:val="006E6ABF"/>
    <w:rsid w:val="006F26B6"/>
    <w:rsid w:val="006F29B5"/>
    <w:rsid w:val="006F79F4"/>
    <w:rsid w:val="00715C54"/>
    <w:rsid w:val="00721497"/>
    <w:rsid w:val="0073631F"/>
    <w:rsid w:val="0076472B"/>
    <w:rsid w:val="00775301"/>
    <w:rsid w:val="00775C4B"/>
    <w:rsid w:val="0078776D"/>
    <w:rsid w:val="00793CA1"/>
    <w:rsid w:val="007A121C"/>
    <w:rsid w:val="007A3595"/>
    <w:rsid w:val="007C08BD"/>
    <w:rsid w:val="007C17BC"/>
    <w:rsid w:val="007D5936"/>
    <w:rsid w:val="007E7F1E"/>
    <w:rsid w:val="007F115E"/>
    <w:rsid w:val="007F2173"/>
    <w:rsid w:val="00805B56"/>
    <w:rsid w:val="00810542"/>
    <w:rsid w:val="008309B8"/>
    <w:rsid w:val="00844857"/>
    <w:rsid w:val="00854EA4"/>
    <w:rsid w:val="0085785C"/>
    <w:rsid w:val="0086410B"/>
    <w:rsid w:val="00867896"/>
    <w:rsid w:val="008963F2"/>
    <w:rsid w:val="008A0F51"/>
    <w:rsid w:val="008A10A2"/>
    <w:rsid w:val="008A6D57"/>
    <w:rsid w:val="008B4636"/>
    <w:rsid w:val="008C01EA"/>
    <w:rsid w:val="008C0809"/>
    <w:rsid w:val="008C330C"/>
    <w:rsid w:val="008D4456"/>
    <w:rsid w:val="008D58FB"/>
    <w:rsid w:val="008E46B4"/>
    <w:rsid w:val="008F0C80"/>
    <w:rsid w:val="008F12CC"/>
    <w:rsid w:val="00901022"/>
    <w:rsid w:val="00906F14"/>
    <w:rsid w:val="00910400"/>
    <w:rsid w:val="009227A1"/>
    <w:rsid w:val="00922F74"/>
    <w:rsid w:val="00932675"/>
    <w:rsid w:val="00933158"/>
    <w:rsid w:val="0094048B"/>
    <w:rsid w:val="00945291"/>
    <w:rsid w:val="00953760"/>
    <w:rsid w:val="009641A5"/>
    <w:rsid w:val="0097008C"/>
    <w:rsid w:val="00974E01"/>
    <w:rsid w:val="00974F15"/>
    <w:rsid w:val="009761DD"/>
    <w:rsid w:val="009817D4"/>
    <w:rsid w:val="009A0713"/>
    <w:rsid w:val="009B3AD8"/>
    <w:rsid w:val="009B774B"/>
    <w:rsid w:val="009C2210"/>
    <w:rsid w:val="009C2372"/>
    <w:rsid w:val="009C49FC"/>
    <w:rsid w:val="009D14E3"/>
    <w:rsid w:val="009F4A57"/>
    <w:rsid w:val="009F5174"/>
    <w:rsid w:val="00A03923"/>
    <w:rsid w:val="00A24BE4"/>
    <w:rsid w:val="00A27F82"/>
    <w:rsid w:val="00A31C6B"/>
    <w:rsid w:val="00A35147"/>
    <w:rsid w:val="00A35D67"/>
    <w:rsid w:val="00A4590D"/>
    <w:rsid w:val="00A5141B"/>
    <w:rsid w:val="00A54318"/>
    <w:rsid w:val="00A76895"/>
    <w:rsid w:val="00A76ED7"/>
    <w:rsid w:val="00A864CC"/>
    <w:rsid w:val="00AA5956"/>
    <w:rsid w:val="00AC33F3"/>
    <w:rsid w:val="00AD7FBA"/>
    <w:rsid w:val="00B022D0"/>
    <w:rsid w:val="00B05EBE"/>
    <w:rsid w:val="00B22970"/>
    <w:rsid w:val="00B36109"/>
    <w:rsid w:val="00B60C17"/>
    <w:rsid w:val="00B659FE"/>
    <w:rsid w:val="00B82EF7"/>
    <w:rsid w:val="00B87A80"/>
    <w:rsid w:val="00B94C08"/>
    <w:rsid w:val="00BA05A5"/>
    <w:rsid w:val="00BB77F1"/>
    <w:rsid w:val="00BD1955"/>
    <w:rsid w:val="00BE33DE"/>
    <w:rsid w:val="00BE4949"/>
    <w:rsid w:val="00C604AE"/>
    <w:rsid w:val="00C6176F"/>
    <w:rsid w:val="00C664FF"/>
    <w:rsid w:val="00C7545E"/>
    <w:rsid w:val="00C76CF4"/>
    <w:rsid w:val="00C7751F"/>
    <w:rsid w:val="00C85068"/>
    <w:rsid w:val="00C872F6"/>
    <w:rsid w:val="00C9585E"/>
    <w:rsid w:val="00C96009"/>
    <w:rsid w:val="00CA10C3"/>
    <w:rsid w:val="00CC69A9"/>
    <w:rsid w:val="00CE142B"/>
    <w:rsid w:val="00CF0769"/>
    <w:rsid w:val="00D04C48"/>
    <w:rsid w:val="00D153DB"/>
    <w:rsid w:val="00D1717D"/>
    <w:rsid w:val="00D212CF"/>
    <w:rsid w:val="00D40488"/>
    <w:rsid w:val="00D4467C"/>
    <w:rsid w:val="00D553D9"/>
    <w:rsid w:val="00D8262A"/>
    <w:rsid w:val="00D974E4"/>
    <w:rsid w:val="00DA1867"/>
    <w:rsid w:val="00DA49F3"/>
    <w:rsid w:val="00DB54AE"/>
    <w:rsid w:val="00DC4618"/>
    <w:rsid w:val="00DD4951"/>
    <w:rsid w:val="00E25E2F"/>
    <w:rsid w:val="00E368EE"/>
    <w:rsid w:val="00E44FBA"/>
    <w:rsid w:val="00E907D8"/>
    <w:rsid w:val="00E94285"/>
    <w:rsid w:val="00EB36A3"/>
    <w:rsid w:val="00EB424A"/>
    <w:rsid w:val="00EC4C79"/>
    <w:rsid w:val="00EC7914"/>
    <w:rsid w:val="00EE7274"/>
    <w:rsid w:val="00F616F7"/>
    <w:rsid w:val="00F72871"/>
    <w:rsid w:val="00F855AB"/>
    <w:rsid w:val="00F958F9"/>
    <w:rsid w:val="00FA4203"/>
    <w:rsid w:val="00FA67FD"/>
    <w:rsid w:val="00FB7171"/>
    <w:rsid w:val="00FC39C7"/>
    <w:rsid w:val="00FE2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CF47FC0"/>
  <w15:chartTrackingRefBased/>
  <w15:docId w15:val="{06B95520-AAFD-4F7D-A71A-1AED63EDB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pPr>
        <w:spacing w:before="-1" w:after="-1"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50E6E"/>
    <w:rPr>
      <w:rFonts w:ascii="Montserrat Light" w:hAnsi="Montserrat Light"/>
    </w:rPr>
  </w:style>
  <w:style w:type="paragraph" w:styleId="Heading1">
    <w:name w:val="heading 1"/>
    <w:basedOn w:val="1Numbered-Heading"/>
    <w:next w:val="Normal"/>
    <w:link w:val="Heading1Char"/>
    <w:uiPriority w:val="9"/>
    <w:rsid w:val="00050E6E"/>
  </w:style>
  <w:style w:type="paragraph" w:styleId="Heading2">
    <w:name w:val="heading 2"/>
    <w:basedOn w:val="Normal"/>
    <w:next w:val="Normal"/>
    <w:link w:val="Heading2Char"/>
    <w:uiPriority w:val="9"/>
    <w:rsid w:val="00050E6E"/>
    <w:pPr>
      <w:keepNext/>
      <w:keepLines/>
      <w:numPr>
        <w:ilvl w:val="1"/>
        <w:numId w:val="2"/>
      </w:numPr>
      <w:outlineLvl w:val="1"/>
    </w:pPr>
    <w:rPr>
      <w:rFonts w:eastAsiaTheme="majorEastAsia" w:cstheme="majorBidi"/>
      <w:b/>
      <w:bCs/>
      <w:szCs w:val="26"/>
    </w:rPr>
  </w:style>
  <w:style w:type="paragraph" w:styleId="Heading3">
    <w:name w:val="heading 3"/>
    <w:basedOn w:val="Normal"/>
    <w:next w:val="Normal"/>
    <w:link w:val="Heading3Char"/>
    <w:uiPriority w:val="9"/>
    <w:semiHidden/>
    <w:rsid w:val="00050E6E"/>
    <w:pPr>
      <w:keepNext/>
      <w:keepLines/>
      <w:numPr>
        <w:ilvl w:val="2"/>
        <w:numId w:val="2"/>
      </w:numPr>
      <w:outlineLvl w:val="2"/>
    </w:pPr>
    <w:rPr>
      <w:rFonts w:eastAsiaTheme="majorEastAsia" w:cstheme="majorBidi"/>
      <w:bCs/>
      <w:i/>
    </w:rPr>
  </w:style>
  <w:style w:type="paragraph" w:styleId="Heading4">
    <w:name w:val="heading 4"/>
    <w:basedOn w:val="Normal"/>
    <w:next w:val="Normal"/>
    <w:link w:val="Heading4Char"/>
    <w:uiPriority w:val="9"/>
    <w:semiHidden/>
    <w:qFormat/>
    <w:rsid w:val="00050E6E"/>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qFormat/>
    <w:rsid w:val="00050E6E"/>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050E6E"/>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050E6E"/>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050E6E"/>
    <w:pPr>
      <w:keepNext/>
      <w:keepLines/>
      <w:spacing w:before="40" w:after="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050E6E"/>
    <w:pPr>
      <w:keepNext/>
      <w:keepLines/>
      <w:spacing w:before="40" w:after="0"/>
      <w:outlineLvl w:val="8"/>
    </w:pPr>
    <w:rPr>
      <w:rFonts w:asciiTheme="majorHAnsi" w:eastAsiaTheme="majorEastAsia" w:hAnsiTheme="majorHAnsi" w:cstheme="majorBidi"/>
      <w:i/>
      <w:iCs/>
      <w:color w:val="48484A" w:themeColor="text1" w:themeTint="D8"/>
      <w:sz w:val="21"/>
      <w:szCs w:val="21"/>
    </w:rPr>
  </w:style>
  <w:style w:type="character" w:default="1" w:styleId="DefaultParagraphFont">
    <w:name w:val="Default Paragraph Font"/>
    <w:uiPriority w:val="1"/>
    <w:semiHidden/>
    <w:unhideWhenUsed/>
    <w:rsid w:val="00050E6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50E6E"/>
  </w:style>
  <w:style w:type="paragraph" w:styleId="Footer">
    <w:name w:val="footer"/>
    <w:basedOn w:val="Normal"/>
    <w:link w:val="FooterChar"/>
    <w:uiPriority w:val="99"/>
    <w:rsid w:val="00050E6E"/>
    <w:pPr>
      <w:pBdr>
        <w:top w:val="single" w:sz="4" w:space="8" w:color="34A3AE"/>
      </w:pBdr>
      <w:tabs>
        <w:tab w:val="center" w:pos="4513"/>
        <w:tab w:val="right" w:pos="9026"/>
      </w:tabs>
      <w:spacing w:before="0" w:after="0" w:line="240" w:lineRule="auto"/>
      <w:jc w:val="center"/>
    </w:pPr>
    <w:rPr>
      <w:color w:val="1A2A57"/>
      <w:sz w:val="20"/>
    </w:rPr>
  </w:style>
  <w:style w:type="character" w:customStyle="1" w:styleId="FooterChar">
    <w:name w:val="Footer Char"/>
    <w:basedOn w:val="DefaultParagraphFont"/>
    <w:link w:val="Footer"/>
    <w:uiPriority w:val="99"/>
    <w:rsid w:val="00050E6E"/>
    <w:rPr>
      <w:rFonts w:ascii="Montserrat Light" w:hAnsi="Montserrat Light"/>
      <w:color w:val="1A2A57"/>
      <w:sz w:val="20"/>
    </w:rPr>
  </w:style>
  <w:style w:type="table" w:customStyle="1" w:styleId="TableGrid1">
    <w:name w:val="Table Grid1"/>
    <w:basedOn w:val="TableNormal"/>
    <w:next w:val="TableGrid"/>
    <w:uiPriority w:val="59"/>
    <w:rsid w:val="00050E6E"/>
    <w:pPr>
      <w:spacing w:before="80" w:after="80" w:line="240" w:lineRule="auto"/>
    </w:pPr>
    <w:rPr>
      <w:rFonts w:ascii="Montserrat Light" w:hAnsi="Montserrat Light"/>
      <w:color w:val="28282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50E6E"/>
    <w:pPr>
      <w:spacing w:before="80" w:after="80" w:line="240" w:lineRule="auto"/>
    </w:pPr>
    <w:rPr>
      <w:rFonts w:ascii="Montserrat Light" w:hAnsi="Montserrat Light"/>
      <w:color w:val="28282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50E6E"/>
    <w:rPr>
      <w:rFonts w:ascii="Montserrat" w:eastAsia="Times New Roman" w:hAnsi="Montserrat" w:cs="Times New Roman"/>
      <w:color w:val="34A3AE"/>
      <w:spacing w:val="10"/>
      <w:kern w:val="40"/>
      <w:sz w:val="40"/>
      <w:lang w:eastAsia="en-GB"/>
    </w:rPr>
  </w:style>
  <w:style w:type="character" w:customStyle="1" w:styleId="Heading2Char">
    <w:name w:val="Heading 2 Char"/>
    <w:basedOn w:val="DefaultParagraphFont"/>
    <w:link w:val="Heading2"/>
    <w:uiPriority w:val="9"/>
    <w:rsid w:val="00050E6E"/>
    <w:rPr>
      <w:rFonts w:ascii="Montserrat Light" w:eastAsiaTheme="majorEastAsia" w:hAnsi="Montserrat Light" w:cstheme="majorBidi"/>
      <w:b/>
      <w:bCs/>
      <w:szCs w:val="26"/>
    </w:rPr>
  </w:style>
  <w:style w:type="character" w:customStyle="1" w:styleId="Heading3Char">
    <w:name w:val="Heading 3 Char"/>
    <w:basedOn w:val="DefaultParagraphFont"/>
    <w:link w:val="Heading3"/>
    <w:uiPriority w:val="9"/>
    <w:semiHidden/>
    <w:rsid w:val="00050E6E"/>
    <w:rPr>
      <w:rFonts w:ascii="Montserrat Light" w:eastAsiaTheme="majorEastAsia" w:hAnsi="Montserrat Light" w:cstheme="majorBidi"/>
      <w:bCs/>
      <w:i/>
    </w:rPr>
  </w:style>
  <w:style w:type="paragraph" w:styleId="TOCHeading">
    <w:name w:val="TOC Heading"/>
    <w:next w:val="Normal"/>
    <w:uiPriority w:val="39"/>
    <w:unhideWhenUsed/>
    <w:rsid w:val="00050E6E"/>
    <w:pPr>
      <w:keepLines/>
      <w:spacing w:before="0" w:after="360"/>
    </w:pPr>
    <w:rPr>
      <w:rFonts w:ascii="Montserrat" w:eastAsia="Times New Roman" w:hAnsi="Montserrat" w:cs="Times New Roman"/>
      <w:color w:val="34A3AE"/>
      <w:spacing w:val="10"/>
      <w:kern w:val="40"/>
      <w:sz w:val="40"/>
      <w:lang w:val="en-US" w:eastAsia="ja-JP"/>
    </w:rPr>
  </w:style>
  <w:style w:type="paragraph" w:styleId="TOC1">
    <w:name w:val="toc 1"/>
    <w:basedOn w:val="Normal"/>
    <w:next w:val="Normal"/>
    <w:autoRedefine/>
    <w:uiPriority w:val="39"/>
    <w:unhideWhenUsed/>
    <w:rsid w:val="00050E6E"/>
    <w:pPr>
      <w:tabs>
        <w:tab w:val="left" w:pos="709"/>
        <w:tab w:val="right" w:leader="dot" w:pos="9639"/>
      </w:tabs>
      <w:spacing w:before="120" w:after="120"/>
    </w:pPr>
    <w:rPr>
      <w:rFonts w:ascii="Montserrat" w:hAnsi="Montserrat"/>
      <w:b/>
      <w:noProof/>
      <w:color w:val="1A2A57"/>
      <w:sz w:val="28"/>
    </w:rPr>
  </w:style>
  <w:style w:type="character" w:styleId="Hyperlink">
    <w:name w:val="Hyperlink"/>
    <w:basedOn w:val="DefaultParagraphFont"/>
    <w:uiPriority w:val="99"/>
    <w:unhideWhenUsed/>
    <w:rsid w:val="00050E6E"/>
    <w:rPr>
      <w:rFonts w:ascii="Montserrat" w:hAnsi="Montserrat"/>
      <w:b/>
      <w:color w:val="53565A"/>
      <w:u w:val="dotted" w:color="53565A"/>
    </w:rPr>
  </w:style>
  <w:style w:type="paragraph" w:styleId="BalloonText">
    <w:name w:val="Balloon Text"/>
    <w:basedOn w:val="Normal"/>
    <w:link w:val="BalloonTextChar"/>
    <w:uiPriority w:val="99"/>
    <w:semiHidden/>
    <w:rsid w:val="00050E6E"/>
    <w:rPr>
      <w:rFonts w:asciiTheme="minorHAnsi" w:hAnsiTheme="minorHAnsi" w:cs="Tahoma"/>
      <w:sz w:val="16"/>
      <w:szCs w:val="16"/>
    </w:rPr>
  </w:style>
  <w:style w:type="character" w:customStyle="1" w:styleId="BalloonTextChar">
    <w:name w:val="Balloon Text Char"/>
    <w:basedOn w:val="DefaultParagraphFont"/>
    <w:link w:val="BalloonText"/>
    <w:uiPriority w:val="99"/>
    <w:semiHidden/>
    <w:rsid w:val="00050E6E"/>
    <w:rPr>
      <w:rFonts w:cs="Tahoma"/>
      <w:sz w:val="16"/>
      <w:szCs w:val="16"/>
    </w:rPr>
  </w:style>
  <w:style w:type="paragraph" w:customStyle="1" w:styleId="1Mainheadings">
    <w:name w:val="1.Main headings"/>
    <w:next w:val="2intro-paragraph"/>
    <w:qFormat/>
    <w:rsid w:val="00050E6E"/>
    <w:pPr>
      <w:spacing w:before="0" w:after="360"/>
      <w:outlineLvl w:val="0"/>
    </w:pPr>
    <w:rPr>
      <w:rFonts w:ascii="Montserrat" w:eastAsia="Times New Roman" w:hAnsi="Montserrat" w:cs="Times New Roman"/>
      <w:color w:val="34A3AE"/>
      <w:spacing w:val="10"/>
      <w:kern w:val="40"/>
      <w:sz w:val="40"/>
      <w:lang w:eastAsia="en-GB"/>
    </w:rPr>
  </w:style>
  <w:style w:type="paragraph" w:customStyle="1" w:styleId="2Sub-headings">
    <w:name w:val="2.Sub-headings"/>
    <w:next w:val="3Copy-text"/>
    <w:qFormat/>
    <w:rsid w:val="00050E6E"/>
    <w:pPr>
      <w:spacing w:before="160" w:after="160"/>
      <w:outlineLvl w:val="1"/>
    </w:pPr>
    <w:rPr>
      <w:rFonts w:ascii="Montserrat" w:eastAsiaTheme="majorEastAsia" w:hAnsi="Montserrat" w:cstheme="majorBidi"/>
      <w:bCs/>
      <w:color w:val="34A3AE"/>
      <w:spacing w:val="10"/>
      <w:kern w:val="32"/>
      <w:sz w:val="28"/>
      <w:szCs w:val="26"/>
    </w:rPr>
  </w:style>
  <w:style w:type="paragraph" w:styleId="TOC2">
    <w:name w:val="toc 2"/>
    <w:basedOn w:val="Normal"/>
    <w:next w:val="Normal"/>
    <w:link w:val="TOC2Char"/>
    <w:autoRedefine/>
    <w:uiPriority w:val="39"/>
    <w:unhideWhenUsed/>
    <w:rsid w:val="00050E6E"/>
    <w:pPr>
      <w:tabs>
        <w:tab w:val="right" w:leader="dot" w:pos="9639"/>
      </w:tabs>
      <w:spacing w:before="120" w:after="120"/>
      <w:ind w:left="476"/>
    </w:pPr>
    <w:rPr>
      <w:noProof/>
      <w:color w:val="3C3C3E"/>
      <w:lang w:eastAsia="en-GB"/>
    </w:rPr>
  </w:style>
  <w:style w:type="paragraph" w:styleId="ListParagraph">
    <w:name w:val="List Paragraph"/>
    <w:aliases w:val="Bullet List"/>
    <w:basedOn w:val="Normal"/>
    <w:uiPriority w:val="34"/>
    <w:rsid w:val="00290A96"/>
    <w:pPr>
      <w:ind w:left="720"/>
      <w:contextualSpacing/>
    </w:pPr>
  </w:style>
  <w:style w:type="paragraph" w:customStyle="1" w:styleId="4Bulletlist">
    <w:name w:val="4.Bullet list"/>
    <w:qFormat/>
    <w:rsid w:val="00050E6E"/>
    <w:pPr>
      <w:numPr>
        <w:numId w:val="3"/>
      </w:numPr>
      <w:spacing w:before="240" w:after="240"/>
      <w:ind w:left="1134" w:hanging="567"/>
    </w:pPr>
    <w:rPr>
      <w:rFonts w:ascii="Montserrat Light" w:eastAsia="Lucida Sans" w:hAnsi="Montserrat Light" w:cs="Times New Roman"/>
      <w:color w:val="414042"/>
      <w:kern w:val="24"/>
    </w:rPr>
  </w:style>
  <w:style w:type="paragraph" w:customStyle="1" w:styleId="4Numberlist">
    <w:name w:val="4.Number list"/>
    <w:autoRedefine/>
    <w:qFormat/>
    <w:rsid w:val="00050E6E"/>
    <w:pPr>
      <w:numPr>
        <w:numId w:val="1"/>
      </w:numPr>
      <w:spacing w:before="240" w:after="240"/>
      <w:ind w:left="1134" w:hanging="567"/>
    </w:pPr>
    <w:rPr>
      <w:rFonts w:ascii="Montserrat Light" w:hAnsi="Montserrat Light"/>
      <w:color w:val="414042"/>
      <w:kern w:val="24"/>
    </w:rPr>
  </w:style>
  <w:style w:type="paragraph" w:customStyle="1" w:styleId="1NON-TOC-PageheadingsnotforTableofContent">
    <w:name w:val="1.NON-TOC - Page headings not for Table of Content"/>
    <w:next w:val="Normal"/>
    <w:rsid w:val="00050E6E"/>
    <w:pPr>
      <w:spacing w:before="0" w:after="360"/>
    </w:pPr>
    <w:rPr>
      <w:rFonts w:ascii="Montserrat" w:hAnsi="Montserrat"/>
      <w:color w:val="34A3AE"/>
      <w:spacing w:val="10"/>
      <w:kern w:val="40"/>
      <w:sz w:val="40"/>
      <w:szCs w:val="32"/>
    </w:rPr>
  </w:style>
  <w:style w:type="paragraph" w:styleId="Header">
    <w:name w:val="header"/>
    <w:basedOn w:val="Normal"/>
    <w:link w:val="HeaderChar"/>
    <w:uiPriority w:val="99"/>
    <w:rsid w:val="00050E6E"/>
    <w:pPr>
      <w:pBdr>
        <w:bottom w:val="single" w:sz="4" w:space="8" w:color="34A3AE"/>
      </w:pBdr>
      <w:tabs>
        <w:tab w:val="center" w:pos="4513"/>
        <w:tab w:val="right" w:pos="9026"/>
      </w:tabs>
      <w:spacing w:before="0" w:after="0" w:line="240" w:lineRule="auto"/>
    </w:pPr>
    <w:rPr>
      <w:color w:val="1A2A57"/>
      <w:sz w:val="20"/>
    </w:rPr>
  </w:style>
  <w:style w:type="character" w:customStyle="1" w:styleId="HeaderChar">
    <w:name w:val="Header Char"/>
    <w:basedOn w:val="DefaultParagraphFont"/>
    <w:link w:val="Header"/>
    <w:uiPriority w:val="99"/>
    <w:rsid w:val="00050E6E"/>
    <w:rPr>
      <w:rFonts w:ascii="Montserrat Light" w:hAnsi="Montserrat Light"/>
      <w:color w:val="1A2A57"/>
      <w:sz w:val="20"/>
    </w:rPr>
  </w:style>
  <w:style w:type="paragraph" w:customStyle="1" w:styleId="1Numbered-Heading">
    <w:name w:val="1.Numbered-Heading"/>
    <w:next w:val="2intro-paragraph"/>
    <w:qFormat/>
    <w:rsid w:val="00050E6E"/>
    <w:pPr>
      <w:keepNext/>
      <w:numPr>
        <w:numId w:val="21"/>
      </w:numPr>
      <w:spacing w:before="0" w:after="360"/>
      <w:ind w:left="0" w:firstLine="0"/>
      <w:outlineLvl w:val="0"/>
    </w:pPr>
    <w:rPr>
      <w:rFonts w:ascii="Montserrat" w:eastAsia="Times New Roman" w:hAnsi="Montserrat" w:cs="Times New Roman"/>
      <w:color w:val="34A3AE"/>
      <w:spacing w:val="10"/>
      <w:kern w:val="40"/>
      <w:sz w:val="40"/>
      <w:lang w:eastAsia="en-GB"/>
    </w:rPr>
  </w:style>
  <w:style w:type="paragraph" w:customStyle="1" w:styleId="3Copy-text">
    <w:name w:val="3.Copy-text"/>
    <w:qFormat/>
    <w:rsid w:val="00050E6E"/>
    <w:pPr>
      <w:spacing w:before="240" w:after="240"/>
    </w:pPr>
    <w:rPr>
      <w:rFonts w:ascii="Montserrat Light" w:hAnsi="Montserrat Light"/>
      <w:color w:val="414042"/>
      <w:kern w:val="24"/>
    </w:rPr>
  </w:style>
  <w:style w:type="paragraph" w:customStyle="1" w:styleId="5Quotetext">
    <w:name w:val="5.Quote text"/>
    <w:basedOn w:val="3Copy-text"/>
    <w:qFormat/>
    <w:rsid w:val="00290A96"/>
    <w:pPr>
      <w:pBdr>
        <w:top w:val="dotted" w:sz="4" w:space="1" w:color="009CA6"/>
        <w:bottom w:val="dotted" w:sz="4" w:space="1" w:color="009CA6"/>
      </w:pBdr>
      <w:ind w:left="1134"/>
    </w:pPr>
    <w:rPr>
      <w:rFonts w:ascii="Cynulliad Serif Lt" w:hAnsi="Cynulliad Serif Lt"/>
      <w:sz w:val="26"/>
    </w:rPr>
  </w:style>
  <w:style w:type="paragraph" w:customStyle="1" w:styleId="6Text-box">
    <w:name w:val="6.Text-box"/>
    <w:basedOn w:val="Normal"/>
    <w:next w:val="3Copy-text"/>
    <w:qFormat/>
    <w:rsid w:val="00290A96"/>
    <w:pPr>
      <w:spacing w:after="120"/>
    </w:pPr>
    <w:rPr>
      <w:rFonts w:eastAsia="Cynulliad Sans" w:cs="Times New Roman"/>
      <w:b/>
      <w:color w:val="4F2C1D"/>
    </w:rPr>
  </w:style>
  <w:style w:type="paragraph" w:customStyle="1" w:styleId="3intro-text">
    <w:name w:val="3.intro-text"/>
    <w:basedOn w:val="Normal"/>
    <w:next w:val="3Copy-text"/>
    <w:qFormat/>
    <w:rsid w:val="00290A96"/>
    <w:rPr>
      <w:rFonts w:ascii="Cynulliad Serif Lt" w:eastAsia="Cynulliad Sans" w:hAnsi="Cynulliad Serif Lt" w:cs="Times New Roman"/>
      <w:color w:val="009CA6"/>
      <w:sz w:val="32"/>
    </w:rPr>
  </w:style>
  <w:style w:type="paragraph" w:customStyle="1" w:styleId="9web-list">
    <w:name w:val="9.web-list"/>
    <w:qFormat/>
    <w:rsid w:val="00290A96"/>
    <w:pPr>
      <w:numPr>
        <w:numId w:val="5"/>
      </w:numPr>
      <w:spacing w:before="120" w:after="120" w:line="240" w:lineRule="auto"/>
    </w:pPr>
    <w:rPr>
      <w:rFonts w:ascii="Cynulliad Sans" w:hAnsi="Cynulliad Sans"/>
      <w:color w:val="000000"/>
      <w:position w:val="-4"/>
    </w:rPr>
  </w:style>
  <w:style w:type="paragraph" w:customStyle="1" w:styleId="9twitter-list">
    <w:name w:val="9.twitter-list"/>
    <w:qFormat/>
    <w:rsid w:val="00290A96"/>
    <w:pPr>
      <w:numPr>
        <w:numId w:val="6"/>
      </w:numPr>
      <w:spacing w:before="120" w:after="120" w:line="240" w:lineRule="auto"/>
    </w:pPr>
    <w:rPr>
      <w:rFonts w:ascii="Cynulliad Sans" w:hAnsi="Cynulliad Sans"/>
      <w:color w:val="000000"/>
      <w:position w:val="-4"/>
    </w:rPr>
  </w:style>
  <w:style w:type="paragraph" w:customStyle="1" w:styleId="9email-list">
    <w:name w:val="9.email-list"/>
    <w:qFormat/>
    <w:rsid w:val="00290A96"/>
    <w:pPr>
      <w:numPr>
        <w:numId w:val="7"/>
      </w:numPr>
      <w:spacing w:before="120" w:after="120" w:line="240" w:lineRule="auto"/>
    </w:pPr>
    <w:rPr>
      <w:rFonts w:ascii="Cynulliad Sans" w:hAnsi="Cynulliad Sans"/>
      <w:color w:val="000000"/>
      <w:position w:val="-4"/>
    </w:rPr>
  </w:style>
  <w:style w:type="paragraph" w:customStyle="1" w:styleId="9phone-list">
    <w:name w:val="9.phone-list"/>
    <w:qFormat/>
    <w:rsid w:val="00290A96"/>
    <w:pPr>
      <w:spacing w:before="120" w:after="120" w:line="240" w:lineRule="auto"/>
      <w:ind w:left="360" w:hanging="360"/>
    </w:pPr>
    <w:rPr>
      <w:rFonts w:ascii="Cynulliad Sans" w:hAnsi="Cynulliad Sans"/>
      <w:color w:val="000000"/>
      <w:position w:val="-4"/>
    </w:rPr>
  </w:style>
  <w:style w:type="character" w:styleId="Strong">
    <w:name w:val="Strong"/>
    <w:basedOn w:val="DefaultParagraphFont"/>
    <w:uiPriority w:val="22"/>
    <w:qFormat/>
    <w:rsid w:val="00DB54AE"/>
    <w:rPr>
      <w:b/>
      <w:bCs/>
    </w:rPr>
  </w:style>
  <w:style w:type="character" w:styleId="CommentReference">
    <w:name w:val="annotation reference"/>
    <w:basedOn w:val="DefaultParagraphFont"/>
    <w:uiPriority w:val="99"/>
    <w:semiHidden/>
    <w:unhideWhenUsed/>
    <w:rsid w:val="00050E6E"/>
    <w:rPr>
      <w:sz w:val="16"/>
      <w:szCs w:val="16"/>
    </w:rPr>
  </w:style>
  <w:style w:type="paragraph" w:styleId="CommentText">
    <w:name w:val="annotation text"/>
    <w:basedOn w:val="Normal"/>
    <w:link w:val="CommentTextChar"/>
    <w:uiPriority w:val="99"/>
    <w:semiHidden/>
    <w:unhideWhenUsed/>
    <w:rsid w:val="00050E6E"/>
    <w:pPr>
      <w:spacing w:line="240" w:lineRule="auto"/>
    </w:pPr>
    <w:rPr>
      <w:sz w:val="20"/>
      <w:szCs w:val="20"/>
    </w:rPr>
  </w:style>
  <w:style w:type="character" w:customStyle="1" w:styleId="CommentTextChar">
    <w:name w:val="Comment Text Char"/>
    <w:basedOn w:val="DefaultParagraphFont"/>
    <w:link w:val="CommentText"/>
    <w:uiPriority w:val="99"/>
    <w:semiHidden/>
    <w:rsid w:val="00050E6E"/>
    <w:rPr>
      <w:rFonts w:ascii="Montserrat Light" w:hAnsi="Montserrat Light"/>
      <w:sz w:val="20"/>
      <w:szCs w:val="20"/>
    </w:rPr>
  </w:style>
  <w:style w:type="paragraph" w:styleId="CommentSubject">
    <w:name w:val="annotation subject"/>
    <w:basedOn w:val="CommentText"/>
    <w:next w:val="CommentText"/>
    <w:link w:val="CommentSubjectChar"/>
    <w:uiPriority w:val="99"/>
    <w:semiHidden/>
    <w:unhideWhenUsed/>
    <w:rsid w:val="00050E6E"/>
    <w:rPr>
      <w:b/>
      <w:bCs/>
    </w:rPr>
  </w:style>
  <w:style w:type="character" w:customStyle="1" w:styleId="CommentSubjectChar">
    <w:name w:val="Comment Subject Char"/>
    <w:basedOn w:val="CommentTextChar"/>
    <w:link w:val="CommentSubject"/>
    <w:uiPriority w:val="99"/>
    <w:semiHidden/>
    <w:rsid w:val="00050E6E"/>
    <w:rPr>
      <w:rFonts w:ascii="Montserrat Light" w:hAnsi="Montserrat Light"/>
      <w:b/>
      <w:bCs/>
      <w:sz w:val="20"/>
      <w:szCs w:val="20"/>
    </w:rPr>
  </w:style>
  <w:style w:type="character" w:customStyle="1" w:styleId="Heading4Char">
    <w:name w:val="Heading 4 Char"/>
    <w:basedOn w:val="DefaultParagraphFont"/>
    <w:link w:val="Heading4"/>
    <w:uiPriority w:val="9"/>
    <w:semiHidden/>
    <w:rsid w:val="00050E6E"/>
    <w:rPr>
      <w:rFonts w:asciiTheme="majorHAnsi" w:eastAsiaTheme="majorEastAsia" w:hAnsiTheme="majorHAnsi" w:cstheme="majorBidi"/>
      <w:i/>
      <w:iCs/>
    </w:rPr>
  </w:style>
  <w:style w:type="character" w:customStyle="1" w:styleId="Heading5Char">
    <w:name w:val="Heading 5 Char"/>
    <w:basedOn w:val="DefaultParagraphFont"/>
    <w:link w:val="Heading5"/>
    <w:uiPriority w:val="9"/>
    <w:semiHidden/>
    <w:rsid w:val="00050E6E"/>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050E6E"/>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050E6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50E6E"/>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050E6E"/>
    <w:rPr>
      <w:rFonts w:asciiTheme="majorHAnsi" w:eastAsiaTheme="majorEastAsia" w:hAnsiTheme="majorHAnsi" w:cstheme="majorBidi"/>
      <w:i/>
      <w:iCs/>
      <w:color w:val="48484A" w:themeColor="text1" w:themeTint="D8"/>
      <w:sz w:val="21"/>
      <w:szCs w:val="21"/>
    </w:rPr>
  </w:style>
  <w:style w:type="numbering" w:styleId="111111">
    <w:name w:val="Outline List 2"/>
    <w:basedOn w:val="NoList"/>
    <w:uiPriority w:val="99"/>
    <w:semiHidden/>
    <w:unhideWhenUsed/>
    <w:rsid w:val="00050E6E"/>
    <w:pPr>
      <w:numPr>
        <w:numId w:val="19"/>
      </w:numPr>
    </w:pPr>
  </w:style>
  <w:style w:type="numbering" w:styleId="1ai">
    <w:name w:val="Outline List 1"/>
    <w:basedOn w:val="NoList"/>
    <w:uiPriority w:val="99"/>
    <w:semiHidden/>
    <w:unhideWhenUsed/>
    <w:rsid w:val="00050E6E"/>
    <w:pPr>
      <w:numPr>
        <w:numId w:val="20"/>
      </w:numPr>
    </w:pPr>
  </w:style>
  <w:style w:type="paragraph" w:customStyle="1" w:styleId="2intro-paragraph">
    <w:name w:val="2.intro-paragraph"/>
    <w:next w:val="3Copy-text"/>
    <w:qFormat/>
    <w:rsid w:val="00050E6E"/>
    <w:pPr>
      <w:spacing w:before="240" w:after="240"/>
    </w:pPr>
    <w:rPr>
      <w:rFonts w:ascii="Montserrat Light" w:hAnsi="Montserrat Light"/>
      <w:color w:val="1A2A57"/>
      <w:kern w:val="32"/>
      <w:sz w:val="32"/>
    </w:rPr>
  </w:style>
  <w:style w:type="paragraph" w:customStyle="1" w:styleId="2Numbered-sub-heading">
    <w:name w:val="2.Numbered-sub-heading"/>
    <w:next w:val="3Copy-text"/>
    <w:qFormat/>
    <w:rsid w:val="00050E6E"/>
    <w:pPr>
      <w:numPr>
        <w:ilvl w:val="1"/>
        <w:numId w:val="21"/>
      </w:numPr>
      <w:spacing w:before="160" w:after="160"/>
      <w:ind w:left="0" w:firstLine="0"/>
      <w:outlineLvl w:val="1"/>
    </w:pPr>
    <w:rPr>
      <w:rFonts w:ascii="Montserrat" w:eastAsiaTheme="majorEastAsia" w:hAnsi="Montserrat" w:cstheme="majorBidi"/>
      <w:bCs/>
      <w:color w:val="34A3AE"/>
      <w:spacing w:val="10"/>
      <w:kern w:val="32"/>
      <w:sz w:val="28"/>
      <w:szCs w:val="26"/>
      <w:lang w:eastAsia="en-GB"/>
    </w:rPr>
  </w:style>
  <w:style w:type="paragraph" w:customStyle="1" w:styleId="2Sub-section-heading">
    <w:name w:val="2.Sub-section-heading"/>
    <w:next w:val="3Copy-text"/>
    <w:qFormat/>
    <w:rsid w:val="00050E6E"/>
    <w:pPr>
      <w:pBdr>
        <w:bottom w:val="single" w:sz="6" w:space="1" w:color="1A2A57"/>
      </w:pBdr>
      <w:spacing w:before="160" w:after="160"/>
      <w:outlineLvl w:val="2"/>
    </w:pPr>
    <w:rPr>
      <w:rFonts w:ascii="Montserrat Light" w:hAnsi="Montserrat Light"/>
      <w:color w:val="1A2A57"/>
      <w:spacing w:val="10"/>
      <w:kern w:val="24"/>
    </w:rPr>
  </w:style>
  <w:style w:type="paragraph" w:customStyle="1" w:styleId="Cover-3bold">
    <w:name w:val="Cover-3:bold"/>
    <w:next w:val="Cover-3"/>
    <w:rsid w:val="00050E6E"/>
    <w:pPr>
      <w:spacing w:before="0" w:after="0" w:line="240" w:lineRule="auto"/>
    </w:pPr>
    <w:rPr>
      <w:rFonts w:ascii="Montserrat" w:eastAsia="Times New Roman" w:hAnsi="Montserrat" w:cs="Times New Roman"/>
      <w:b/>
      <w:color w:val="FFFFFF"/>
      <w:kern w:val="40"/>
      <w:sz w:val="60"/>
      <w:lang w:eastAsia="en-GB"/>
    </w:rPr>
  </w:style>
  <w:style w:type="paragraph" w:customStyle="1" w:styleId="3Highlight-box">
    <w:name w:val="3.Highlight-box"/>
    <w:basedOn w:val="Normal"/>
    <w:qFormat/>
    <w:rsid w:val="00050E6E"/>
    <w:pPr>
      <w:pBdr>
        <w:top w:val="single" w:sz="4" w:space="5" w:color="E6E7E8"/>
        <w:left w:val="single" w:sz="4" w:space="5" w:color="E6E7E8"/>
        <w:bottom w:val="single" w:sz="4" w:space="5" w:color="E6E7E8"/>
        <w:right w:val="single" w:sz="4" w:space="5" w:color="E6E7E8"/>
      </w:pBdr>
      <w:shd w:val="clear" w:color="auto" w:fill="E6E7E8"/>
      <w:spacing w:before="240" w:after="240"/>
      <w:ind w:left="113" w:right="113"/>
    </w:pPr>
    <w:rPr>
      <w:color w:val="000000"/>
    </w:rPr>
  </w:style>
  <w:style w:type="paragraph" w:customStyle="1" w:styleId="3Numbered-paragraph-text">
    <w:name w:val="3.Numbered-paragraph-text"/>
    <w:qFormat/>
    <w:rsid w:val="00050E6E"/>
    <w:pPr>
      <w:numPr>
        <w:numId w:val="22"/>
      </w:numPr>
      <w:tabs>
        <w:tab w:val="right" w:pos="567"/>
      </w:tabs>
      <w:spacing w:before="240" w:after="240"/>
      <w:textboxTightWrap w:val="firstLineOnly"/>
    </w:pPr>
    <w:rPr>
      <w:rFonts w:ascii="Montserrat Light" w:hAnsi="Montserrat Light"/>
      <w:color w:val="282829" w:themeColor="text1"/>
      <w:kern w:val="24"/>
    </w:rPr>
  </w:style>
  <w:style w:type="paragraph" w:styleId="ListNumber">
    <w:name w:val="List Number"/>
    <w:basedOn w:val="Normal"/>
    <w:uiPriority w:val="99"/>
    <w:semiHidden/>
    <w:unhideWhenUsed/>
    <w:rsid w:val="00050E6E"/>
    <w:pPr>
      <w:numPr>
        <w:numId w:val="13"/>
      </w:numPr>
      <w:contextualSpacing/>
    </w:pPr>
  </w:style>
  <w:style w:type="paragraph" w:customStyle="1" w:styleId="5Block-quote-bullet">
    <w:name w:val="5.Block-quote-bullet"/>
    <w:qFormat/>
    <w:rsid w:val="00050E6E"/>
    <w:pPr>
      <w:numPr>
        <w:numId w:val="23"/>
      </w:numPr>
      <w:spacing w:before="240" w:after="240"/>
      <w:ind w:left="1871" w:hanging="567"/>
    </w:pPr>
    <w:rPr>
      <w:rFonts w:ascii="Montserrat Light" w:hAnsi="Montserrat Light"/>
      <w:color w:val="1A2A57"/>
      <w:kern w:val="24"/>
      <w:lang w:eastAsia="en-GB"/>
    </w:rPr>
  </w:style>
  <w:style w:type="paragraph" w:customStyle="1" w:styleId="5Block-quote">
    <w:name w:val="5.Block-quote"/>
    <w:basedOn w:val="5Block-quote-bullet"/>
    <w:qFormat/>
    <w:rsid w:val="00050E6E"/>
    <w:pPr>
      <w:numPr>
        <w:numId w:val="0"/>
      </w:numPr>
      <w:ind w:left="1247"/>
    </w:pPr>
  </w:style>
  <w:style w:type="paragraph" w:styleId="TableofFigures">
    <w:name w:val="table of figures"/>
    <w:basedOn w:val="Normal"/>
    <w:next w:val="Normal"/>
    <w:autoRedefine/>
    <w:uiPriority w:val="99"/>
    <w:unhideWhenUsed/>
    <w:rsid w:val="00050E6E"/>
    <w:pPr>
      <w:tabs>
        <w:tab w:val="right" w:leader="dot" w:pos="9639"/>
      </w:tabs>
      <w:spacing w:before="240" w:after="240"/>
    </w:pPr>
    <w:rPr>
      <w:color w:val="414042"/>
    </w:rPr>
  </w:style>
  <w:style w:type="paragraph" w:styleId="Caption">
    <w:name w:val="caption"/>
    <w:next w:val="Normal"/>
    <w:uiPriority w:val="35"/>
    <w:rsid w:val="00050E6E"/>
    <w:pPr>
      <w:spacing w:before="240" w:after="120" w:line="240" w:lineRule="auto"/>
    </w:pPr>
    <w:rPr>
      <w:rFonts w:ascii="Montserrat Medium" w:hAnsi="Montserrat Medium"/>
      <w:i/>
      <w:iCs/>
      <w:color w:val="1A2A57"/>
      <w:sz w:val="18"/>
      <w:szCs w:val="18"/>
    </w:rPr>
  </w:style>
  <w:style w:type="paragraph" w:customStyle="1" w:styleId="Cover-1">
    <w:name w:val="Cover-1"/>
    <w:next w:val="Normal"/>
    <w:rsid w:val="00050E6E"/>
    <w:pPr>
      <w:spacing w:before="0" w:after="0" w:line="240" w:lineRule="auto"/>
    </w:pPr>
    <w:rPr>
      <w:rFonts w:ascii="Montserrat Light" w:hAnsi="Montserrat Light"/>
      <w:color w:val="FFFFFF"/>
      <w:kern w:val="24"/>
    </w:rPr>
  </w:style>
  <w:style w:type="paragraph" w:customStyle="1" w:styleId="Cover-2">
    <w:name w:val="Cover-2"/>
    <w:rsid w:val="00050E6E"/>
    <w:pPr>
      <w:spacing w:before="0" w:after="120" w:line="240" w:lineRule="auto"/>
    </w:pPr>
    <w:rPr>
      <w:rFonts w:ascii="Montserrat" w:hAnsi="Montserrat"/>
      <w:b/>
      <w:color w:val="FFFFFF"/>
      <w:kern w:val="24"/>
    </w:rPr>
  </w:style>
  <w:style w:type="paragraph" w:customStyle="1" w:styleId="Cover-3">
    <w:name w:val="Cover-3"/>
    <w:next w:val="Cover-4"/>
    <w:rsid w:val="00050E6E"/>
    <w:pPr>
      <w:spacing w:before="0" w:after="360" w:line="240" w:lineRule="auto"/>
    </w:pPr>
    <w:rPr>
      <w:rFonts w:ascii="Montserrat ExtraLight" w:eastAsia="Times New Roman" w:hAnsi="Montserrat ExtraLight" w:cs="Times New Roman"/>
      <w:color w:val="FFFFFF"/>
      <w:kern w:val="40"/>
      <w:sz w:val="60"/>
      <w:lang w:eastAsia="en-GB"/>
    </w:rPr>
  </w:style>
  <w:style w:type="paragraph" w:customStyle="1" w:styleId="Cover-4">
    <w:name w:val="Cover-4"/>
    <w:rsid w:val="00050E6E"/>
    <w:pPr>
      <w:spacing w:before="0" w:after="0" w:line="240" w:lineRule="auto"/>
    </w:pPr>
    <w:rPr>
      <w:rFonts w:ascii="Montserrat Light" w:hAnsi="Montserrat Light"/>
      <w:color w:val="FFFFFF"/>
      <w:kern w:val="24"/>
    </w:rPr>
  </w:style>
  <w:style w:type="paragraph" w:styleId="DocumentMap">
    <w:name w:val="Document Map"/>
    <w:basedOn w:val="Normal"/>
    <w:link w:val="DocumentMapChar"/>
    <w:uiPriority w:val="99"/>
    <w:semiHidden/>
    <w:unhideWhenUsed/>
    <w:rsid w:val="00050E6E"/>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050E6E"/>
    <w:rPr>
      <w:rFonts w:ascii="Montserrat Light" w:hAnsi="Montserrat Light" w:cs="Segoe UI"/>
      <w:sz w:val="16"/>
      <w:szCs w:val="16"/>
    </w:rPr>
  </w:style>
  <w:style w:type="character" w:styleId="FollowedHyperlink">
    <w:name w:val="FollowedHyperlink"/>
    <w:basedOn w:val="DefaultParagraphFont"/>
    <w:uiPriority w:val="99"/>
    <w:semiHidden/>
    <w:unhideWhenUsed/>
    <w:rsid w:val="00050E6E"/>
    <w:rPr>
      <w:rFonts w:ascii="Montserrat" w:hAnsi="Montserrat"/>
      <w:b/>
      <w:color w:val="53565A"/>
      <w:sz w:val="24"/>
      <w:u w:val="dottedHeavy" w:color="53565A"/>
    </w:rPr>
  </w:style>
  <w:style w:type="character" w:styleId="FootnoteReference">
    <w:name w:val="footnote reference"/>
    <w:basedOn w:val="DefaultParagraphFont"/>
    <w:uiPriority w:val="99"/>
    <w:semiHidden/>
    <w:unhideWhenUsed/>
    <w:rsid w:val="00050E6E"/>
    <w:rPr>
      <w:rFonts w:ascii="Montserrat Light" w:hAnsi="Montserrat Light"/>
      <w:b w:val="0"/>
      <w:color w:val="005A6A"/>
      <w:sz w:val="20"/>
      <w:vertAlign w:val="superscript"/>
    </w:rPr>
  </w:style>
  <w:style w:type="paragraph" w:styleId="FootnoteText">
    <w:name w:val="footnote text"/>
    <w:basedOn w:val="Normal"/>
    <w:link w:val="FootnoteTextChar"/>
    <w:uiPriority w:val="99"/>
    <w:semiHidden/>
    <w:unhideWhenUsed/>
    <w:qFormat/>
    <w:rsid w:val="00050E6E"/>
    <w:pPr>
      <w:spacing w:before="40" w:after="0"/>
    </w:pPr>
    <w:rPr>
      <w:color w:val="005A6A"/>
      <w:sz w:val="20"/>
      <w:szCs w:val="20"/>
    </w:rPr>
  </w:style>
  <w:style w:type="character" w:customStyle="1" w:styleId="FootnoteTextChar">
    <w:name w:val="Footnote Text Char"/>
    <w:basedOn w:val="DefaultParagraphFont"/>
    <w:link w:val="FootnoteText"/>
    <w:uiPriority w:val="99"/>
    <w:semiHidden/>
    <w:rsid w:val="00050E6E"/>
    <w:rPr>
      <w:rFonts w:ascii="Montserrat Light" w:hAnsi="Montserrat Light"/>
      <w:color w:val="005A6A"/>
      <w:sz w:val="20"/>
      <w:szCs w:val="20"/>
    </w:rPr>
  </w:style>
  <w:style w:type="paragraph" w:customStyle="1" w:styleId="Front-page-hyperlink">
    <w:name w:val="Front-page-hyperlink"/>
    <w:basedOn w:val="Normal"/>
    <w:rsid w:val="00050E6E"/>
    <w:pPr>
      <w:spacing w:before="0" w:after="0" w:line="240" w:lineRule="auto"/>
      <w:jc w:val="right"/>
    </w:pPr>
    <w:rPr>
      <w:rFonts w:ascii="Montserrat" w:hAnsi="Montserrat"/>
      <w:color w:val="1A2A57"/>
    </w:rPr>
  </w:style>
  <w:style w:type="table" w:styleId="GridTable1Light">
    <w:name w:val="Grid Table 1 Light"/>
    <w:basedOn w:val="TableNormal"/>
    <w:uiPriority w:val="46"/>
    <w:rsid w:val="00050E6E"/>
    <w:pPr>
      <w:spacing w:before="80" w:after="80" w:line="240" w:lineRule="auto"/>
    </w:pPr>
    <w:rPr>
      <w:rFonts w:ascii="Montserrat Light" w:hAnsi="Montserrat Light"/>
      <w:color w:val="282829"/>
    </w:rPr>
    <w:tblPr>
      <w:tblStyleRowBandSize w:val="1"/>
      <w:tblStyleColBandSize w:val="1"/>
      <w:tblBorders>
        <w:top w:val="single" w:sz="4" w:space="0" w:color="A8A8AA" w:themeColor="text1" w:themeTint="66"/>
        <w:left w:val="single" w:sz="4" w:space="0" w:color="A8A8AA" w:themeColor="text1" w:themeTint="66"/>
        <w:bottom w:val="single" w:sz="4" w:space="0" w:color="A8A8AA" w:themeColor="text1" w:themeTint="66"/>
        <w:right w:val="single" w:sz="4" w:space="0" w:color="A8A8AA" w:themeColor="text1" w:themeTint="66"/>
        <w:insideH w:val="single" w:sz="4" w:space="0" w:color="A8A8AA" w:themeColor="text1" w:themeTint="66"/>
        <w:insideV w:val="single" w:sz="4" w:space="0" w:color="A8A8AA" w:themeColor="text1" w:themeTint="66"/>
      </w:tblBorders>
    </w:tblPr>
    <w:tblStylePr w:type="firstRow">
      <w:rPr>
        <w:b/>
        <w:bCs/>
      </w:rPr>
      <w:tblPr/>
      <w:tcPr>
        <w:tcBorders>
          <w:bottom w:val="single" w:sz="12" w:space="0" w:color="7C7C7F" w:themeColor="text1" w:themeTint="99"/>
        </w:tcBorders>
      </w:tcPr>
    </w:tblStylePr>
    <w:tblStylePr w:type="lastRow">
      <w:rPr>
        <w:b/>
        <w:bCs/>
      </w:rPr>
      <w:tblPr/>
      <w:tcPr>
        <w:tcBorders>
          <w:top w:val="double" w:sz="2" w:space="0" w:color="7C7C7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50E6E"/>
    <w:pPr>
      <w:spacing w:before="80" w:after="80" w:line="240" w:lineRule="auto"/>
    </w:pPr>
    <w:rPr>
      <w:rFonts w:ascii="Montserrat Light" w:hAnsi="Montserrat Light"/>
      <w:color w:val="282829"/>
    </w:rPr>
    <w:tblPr>
      <w:tblStyleRowBandSize w:val="1"/>
      <w:tblStyleColBandSize w:val="1"/>
      <w:tblBorders>
        <w:top w:val="single" w:sz="4" w:space="0" w:color="F299CC" w:themeColor="accent1" w:themeTint="66"/>
        <w:left w:val="single" w:sz="4" w:space="0" w:color="F299CC" w:themeColor="accent1" w:themeTint="66"/>
        <w:bottom w:val="single" w:sz="4" w:space="0" w:color="F299CC" w:themeColor="accent1" w:themeTint="66"/>
        <w:right w:val="single" w:sz="4" w:space="0" w:color="F299CC" w:themeColor="accent1" w:themeTint="66"/>
        <w:insideH w:val="single" w:sz="4" w:space="0" w:color="F299CC" w:themeColor="accent1" w:themeTint="66"/>
        <w:insideV w:val="single" w:sz="4" w:space="0" w:color="F299CC" w:themeColor="accent1" w:themeTint="66"/>
      </w:tblBorders>
    </w:tblPr>
    <w:tblStylePr w:type="firstRow">
      <w:rPr>
        <w:b/>
        <w:bCs/>
      </w:rPr>
      <w:tblPr/>
      <w:tcPr>
        <w:tcBorders>
          <w:bottom w:val="single" w:sz="12" w:space="0" w:color="EC66B3" w:themeColor="accent1" w:themeTint="99"/>
        </w:tcBorders>
      </w:tcPr>
    </w:tblStylePr>
    <w:tblStylePr w:type="lastRow">
      <w:rPr>
        <w:b/>
        <w:bCs/>
      </w:rPr>
      <w:tblPr/>
      <w:tcPr>
        <w:tcBorders>
          <w:top w:val="double" w:sz="2" w:space="0" w:color="EC66B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50E6E"/>
    <w:pPr>
      <w:spacing w:before="80" w:after="80" w:line="240" w:lineRule="auto"/>
    </w:pPr>
    <w:rPr>
      <w:rFonts w:ascii="Montserrat Light" w:hAnsi="Montserrat Light"/>
      <w:color w:val="282829"/>
    </w:rPr>
    <w:tblPr>
      <w:tblStyleRowBandSize w:val="1"/>
      <w:tblStyleColBandSize w:val="1"/>
      <w:tblBorders>
        <w:top w:val="single" w:sz="4" w:space="0" w:color="B5DFB2" w:themeColor="accent2" w:themeTint="66"/>
        <w:left w:val="single" w:sz="4" w:space="0" w:color="B5DFB2" w:themeColor="accent2" w:themeTint="66"/>
        <w:bottom w:val="single" w:sz="4" w:space="0" w:color="B5DFB2" w:themeColor="accent2" w:themeTint="66"/>
        <w:right w:val="single" w:sz="4" w:space="0" w:color="B5DFB2" w:themeColor="accent2" w:themeTint="66"/>
        <w:insideH w:val="single" w:sz="4" w:space="0" w:color="B5DFB2" w:themeColor="accent2" w:themeTint="66"/>
        <w:insideV w:val="single" w:sz="4" w:space="0" w:color="B5DFB2" w:themeColor="accent2" w:themeTint="66"/>
      </w:tblBorders>
    </w:tblPr>
    <w:tblStylePr w:type="firstRow">
      <w:rPr>
        <w:b/>
        <w:bCs/>
      </w:rPr>
      <w:tblPr/>
      <w:tcPr>
        <w:tcBorders>
          <w:bottom w:val="single" w:sz="12" w:space="0" w:color="91CF8C" w:themeColor="accent2" w:themeTint="99"/>
        </w:tcBorders>
      </w:tcPr>
    </w:tblStylePr>
    <w:tblStylePr w:type="lastRow">
      <w:rPr>
        <w:b/>
        <w:bCs/>
      </w:rPr>
      <w:tblPr/>
      <w:tcPr>
        <w:tcBorders>
          <w:top w:val="double" w:sz="2" w:space="0" w:color="91CF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50E6E"/>
    <w:pPr>
      <w:spacing w:before="80" w:after="80" w:line="240" w:lineRule="auto"/>
    </w:pPr>
    <w:rPr>
      <w:rFonts w:ascii="Montserrat Light" w:hAnsi="Montserrat Light"/>
      <w:color w:val="282829"/>
    </w:rPr>
    <w:tblPr>
      <w:tblStyleRowBandSize w:val="1"/>
      <w:tblStyleColBandSize w:val="1"/>
      <w:tblBorders>
        <w:top w:val="single" w:sz="4" w:space="0" w:color="F5C9A5" w:themeColor="accent3" w:themeTint="66"/>
        <w:left w:val="single" w:sz="4" w:space="0" w:color="F5C9A5" w:themeColor="accent3" w:themeTint="66"/>
        <w:bottom w:val="single" w:sz="4" w:space="0" w:color="F5C9A5" w:themeColor="accent3" w:themeTint="66"/>
        <w:right w:val="single" w:sz="4" w:space="0" w:color="F5C9A5" w:themeColor="accent3" w:themeTint="66"/>
        <w:insideH w:val="single" w:sz="4" w:space="0" w:color="F5C9A5" w:themeColor="accent3" w:themeTint="66"/>
        <w:insideV w:val="single" w:sz="4" w:space="0" w:color="F5C9A5" w:themeColor="accent3" w:themeTint="66"/>
      </w:tblBorders>
    </w:tblPr>
    <w:tblStylePr w:type="firstRow">
      <w:rPr>
        <w:b/>
        <w:bCs/>
      </w:rPr>
      <w:tblPr/>
      <w:tcPr>
        <w:tcBorders>
          <w:bottom w:val="single" w:sz="12" w:space="0" w:color="F0AE78" w:themeColor="accent3" w:themeTint="99"/>
        </w:tcBorders>
      </w:tcPr>
    </w:tblStylePr>
    <w:tblStylePr w:type="lastRow">
      <w:rPr>
        <w:b/>
        <w:bCs/>
      </w:rPr>
      <w:tblPr/>
      <w:tcPr>
        <w:tcBorders>
          <w:top w:val="double" w:sz="2" w:space="0" w:color="F0A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50E6E"/>
    <w:pPr>
      <w:spacing w:before="80" w:after="80" w:line="240" w:lineRule="auto"/>
    </w:pPr>
    <w:rPr>
      <w:rFonts w:ascii="Montserrat Light" w:hAnsi="Montserrat Light"/>
      <w:color w:val="282829"/>
    </w:rPr>
    <w:tblPr>
      <w:tblStyleRowBandSize w:val="1"/>
      <w:tblStyleColBandSize w:val="1"/>
      <w:tblBorders>
        <w:top w:val="single" w:sz="4" w:space="0" w:color="A7DFE4" w:themeColor="accent4" w:themeTint="66"/>
        <w:left w:val="single" w:sz="4" w:space="0" w:color="A7DFE4" w:themeColor="accent4" w:themeTint="66"/>
        <w:bottom w:val="single" w:sz="4" w:space="0" w:color="A7DFE4" w:themeColor="accent4" w:themeTint="66"/>
        <w:right w:val="single" w:sz="4" w:space="0" w:color="A7DFE4" w:themeColor="accent4" w:themeTint="66"/>
        <w:insideH w:val="single" w:sz="4" w:space="0" w:color="A7DFE4" w:themeColor="accent4" w:themeTint="66"/>
        <w:insideV w:val="single" w:sz="4" w:space="0" w:color="A7DFE4" w:themeColor="accent4" w:themeTint="66"/>
      </w:tblBorders>
    </w:tblPr>
    <w:tblStylePr w:type="firstRow">
      <w:rPr>
        <w:b/>
        <w:bCs/>
      </w:rPr>
      <w:tblPr/>
      <w:tcPr>
        <w:tcBorders>
          <w:bottom w:val="single" w:sz="12" w:space="0" w:color="7BCFD7" w:themeColor="accent4" w:themeTint="99"/>
        </w:tcBorders>
      </w:tcPr>
    </w:tblStylePr>
    <w:tblStylePr w:type="lastRow">
      <w:rPr>
        <w:b/>
        <w:bCs/>
      </w:rPr>
      <w:tblPr/>
      <w:tcPr>
        <w:tcBorders>
          <w:top w:val="double" w:sz="2" w:space="0" w:color="7BCFD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50E6E"/>
    <w:pPr>
      <w:spacing w:before="80" w:after="80" w:line="240" w:lineRule="auto"/>
    </w:pPr>
    <w:rPr>
      <w:rFonts w:ascii="Montserrat Light" w:hAnsi="Montserrat Light"/>
      <w:color w:val="282829"/>
    </w:rPr>
    <w:tblPr>
      <w:tblStyleRowBandSize w:val="1"/>
      <w:tblStyleColBandSize w:val="1"/>
      <w:tblBorders>
        <w:top w:val="single" w:sz="4" w:space="0" w:color="F8B2B6" w:themeColor="accent5" w:themeTint="66"/>
        <w:left w:val="single" w:sz="4" w:space="0" w:color="F8B2B6" w:themeColor="accent5" w:themeTint="66"/>
        <w:bottom w:val="single" w:sz="4" w:space="0" w:color="F8B2B6" w:themeColor="accent5" w:themeTint="66"/>
        <w:right w:val="single" w:sz="4" w:space="0" w:color="F8B2B6" w:themeColor="accent5" w:themeTint="66"/>
        <w:insideH w:val="single" w:sz="4" w:space="0" w:color="F8B2B6" w:themeColor="accent5" w:themeTint="66"/>
        <w:insideV w:val="single" w:sz="4" w:space="0" w:color="F8B2B6" w:themeColor="accent5" w:themeTint="66"/>
      </w:tblBorders>
    </w:tblPr>
    <w:tblStylePr w:type="firstRow">
      <w:rPr>
        <w:b/>
        <w:bCs/>
      </w:rPr>
      <w:tblPr/>
      <w:tcPr>
        <w:tcBorders>
          <w:bottom w:val="single" w:sz="12" w:space="0" w:color="F58C91" w:themeColor="accent5" w:themeTint="99"/>
        </w:tcBorders>
      </w:tcPr>
    </w:tblStylePr>
    <w:tblStylePr w:type="lastRow">
      <w:rPr>
        <w:b/>
        <w:bCs/>
      </w:rPr>
      <w:tblPr/>
      <w:tcPr>
        <w:tcBorders>
          <w:top w:val="double" w:sz="2" w:space="0" w:color="F58C9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50E6E"/>
    <w:pPr>
      <w:spacing w:before="80" w:after="80" w:line="240" w:lineRule="auto"/>
    </w:pPr>
    <w:rPr>
      <w:rFonts w:ascii="Montserrat Light" w:hAnsi="Montserrat Light"/>
      <w:color w:val="282829"/>
    </w:rPr>
    <w:tblPr>
      <w:tblStyleRowBandSize w:val="1"/>
      <w:tblStyleColBandSize w:val="1"/>
      <w:tblBorders>
        <w:top w:val="single" w:sz="4" w:space="0" w:color="E9D4A5" w:themeColor="accent6" w:themeTint="66"/>
        <w:left w:val="single" w:sz="4" w:space="0" w:color="E9D4A5" w:themeColor="accent6" w:themeTint="66"/>
        <w:bottom w:val="single" w:sz="4" w:space="0" w:color="E9D4A5" w:themeColor="accent6" w:themeTint="66"/>
        <w:right w:val="single" w:sz="4" w:space="0" w:color="E9D4A5" w:themeColor="accent6" w:themeTint="66"/>
        <w:insideH w:val="single" w:sz="4" w:space="0" w:color="E9D4A5" w:themeColor="accent6" w:themeTint="66"/>
        <w:insideV w:val="single" w:sz="4" w:space="0" w:color="E9D4A5" w:themeColor="accent6" w:themeTint="66"/>
      </w:tblBorders>
    </w:tblPr>
    <w:tblStylePr w:type="firstRow">
      <w:rPr>
        <w:b/>
        <w:bCs/>
      </w:rPr>
      <w:tblPr/>
      <w:tcPr>
        <w:tcBorders>
          <w:bottom w:val="single" w:sz="12" w:space="0" w:color="DEBE79" w:themeColor="accent6" w:themeTint="99"/>
        </w:tcBorders>
      </w:tcPr>
    </w:tblStylePr>
    <w:tblStylePr w:type="lastRow">
      <w:rPr>
        <w:b/>
        <w:bCs/>
      </w:rPr>
      <w:tblPr/>
      <w:tcPr>
        <w:tcBorders>
          <w:top w:val="double" w:sz="2" w:space="0" w:color="DEBE7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2" w:space="0" w:color="7C7C7F" w:themeColor="text1" w:themeTint="99"/>
        <w:bottom w:val="single" w:sz="2" w:space="0" w:color="7C7C7F" w:themeColor="text1" w:themeTint="99"/>
        <w:insideH w:val="single" w:sz="2" w:space="0" w:color="7C7C7F" w:themeColor="text1" w:themeTint="99"/>
        <w:insideV w:val="single" w:sz="2" w:space="0" w:color="7C7C7F" w:themeColor="text1" w:themeTint="99"/>
      </w:tblBorders>
    </w:tblPr>
    <w:tblStylePr w:type="firstRow">
      <w:rPr>
        <w:b/>
        <w:bCs/>
      </w:rPr>
      <w:tblPr/>
      <w:tcPr>
        <w:tcBorders>
          <w:top w:val="nil"/>
          <w:bottom w:val="single" w:sz="12" w:space="0" w:color="7C7C7F" w:themeColor="text1" w:themeTint="99"/>
          <w:insideH w:val="nil"/>
          <w:insideV w:val="nil"/>
        </w:tcBorders>
        <w:shd w:val="clear" w:color="auto" w:fill="FFFFFF" w:themeFill="background1"/>
      </w:tcPr>
    </w:tblStylePr>
    <w:tblStylePr w:type="lastRow">
      <w:rPr>
        <w:b/>
        <w:bCs/>
      </w:rPr>
      <w:tblPr/>
      <w:tcPr>
        <w:tcBorders>
          <w:top w:val="double" w:sz="2" w:space="0" w:color="7C7C7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GridTable2-Accent1">
    <w:name w:val="Grid Table 2 Accent 1"/>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2" w:space="0" w:color="EC66B3" w:themeColor="accent1" w:themeTint="99"/>
        <w:bottom w:val="single" w:sz="2" w:space="0" w:color="EC66B3" w:themeColor="accent1" w:themeTint="99"/>
        <w:insideH w:val="single" w:sz="2" w:space="0" w:color="EC66B3" w:themeColor="accent1" w:themeTint="99"/>
        <w:insideV w:val="single" w:sz="2" w:space="0" w:color="EC66B3" w:themeColor="accent1" w:themeTint="99"/>
      </w:tblBorders>
    </w:tblPr>
    <w:tblStylePr w:type="firstRow">
      <w:rPr>
        <w:b/>
        <w:bCs/>
      </w:rPr>
      <w:tblPr/>
      <w:tcPr>
        <w:tcBorders>
          <w:top w:val="nil"/>
          <w:bottom w:val="single" w:sz="12" w:space="0" w:color="EC66B3" w:themeColor="accent1" w:themeTint="99"/>
          <w:insideH w:val="nil"/>
          <w:insideV w:val="nil"/>
        </w:tcBorders>
        <w:shd w:val="clear" w:color="auto" w:fill="FFFFFF" w:themeFill="background1"/>
      </w:tcPr>
    </w:tblStylePr>
    <w:tblStylePr w:type="lastRow">
      <w:rPr>
        <w:b/>
        <w:bCs/>
      </w:rPr>
      <w:tblPr/>
      <w:tcPr>
        <w:tcBorders>
          <w:top w:val="double" w:sz="2" w:space="0" w:color="EC66B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GridTable2-Accent2">
    <w:name w:val="Grid Table 2 Accent 2"/>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2" w:space="0" w:color="91CF8C" w:themeColor="accent2" w:themeTint="99"/>
        <w:bottom w:val="single" w:sz="2" w:space="0" w:color="91CF8C" w:themeColor="accent2" w:themeTint="99"/>
        <w:insideH w:val="single" w:sz="2" w:space="0" w:color="91CF8C" w:themeColor="accent2" w:themeTint="99"/>
        <w:insideV w:val="single" w:sz="2" w:space="0" w:color="91CF8C" w:themeColor="accent2" w:themeTint="99"/>
      </w:tblBorders>
    </w:tblPr>
    <w:tblStylePr w:type="firstRow">
      <w:rPr>
        <w:b/>
        <w:bCs/>
      </w:rPr>
      <w:tblPr/>
      <w:tcPr>
        <w:tcBorders>
          <w:top w:val="nil"/>
          <w:bottom w:val="single" w:sz="12" w:space="0" w:color="91CF8C" w:themeColor="accent2" w:themeTint="99"/>
          <w:insideH w:val="nil"/>
          <w:insideV w:val="nil"/>
        </w:tcBorders>
        <w:shd w:val="clear" w:color="auto" w:fill="FFFFFF" w:themeFill="background1"/>
      </w:tcPr>
    </w:tblStylePr>
    <w:tblStylePr w:type="lastRow">
      <w:rPr>
        <w:b/>
        <w:bCs/>
      </w:rPr>
      <w:tblPr/>
      <w:tcPr>
        <w:tcBorders>
          <w:top w:val="double" w:sz="2" w:space="0" w:color="91CF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GridTable2-Accent3">
    <w:name w:val="Grid Table 2 Accent 3"/>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2" w:space="0" w:color="F0AE78" w:themeColor="accent3" w:themeTint="99"/>
        <w:bottom w:val="single" w:sz="2" w:space="0" w:color="F0AE78" w:themeColor="accent3" w:themeTint="99"/>
        <w:insideH w:val="single" w:sz="2" w:space="0" w:color="F0AE78" w:themeColor="accent3" w:themeTint="99"/>
        <w:insideV w:val="single" w:sz="2" w:space="0" w:color="F0AE78" w:themeColor="accent3" w:themeTint="99"/>
      </w:tblBorders>
    </w:tblPr>
    <w:tblStylePr w:type="firstRow">
      <w:rPr>
        <w:b/>
        <w:bCs/>
      </w:rPr>
      <w:tblPr/>
      <w:tcPr>
        <w:tcBorders>
          <w:top w:val="nil"/>
          <w:bottom w:val="single" w:sz="12" w:space="0" w:color="F0AE78" w:themeColor="accent3" w:themeTint="99"/>
          <w:insideH w:val="nil"/>
          <w:insideV w:val="nil"/>
        </w:tcBorders>
        <w:shd w:val="clear" w:color="auto" w:fill="FFFFFF" w:themeFill="background1"/>
      </w:tcPr>
    </w:tblStylePr>
    <w:tblStylePr w:type="lastRow">
      <w:rPr>
        <w:b/>
        <w:bCs/>
      </w:rPr>
      <w:tblPr/>
      <w:tcPr>
        <w:tcBorders>
          <w:top w:val="double" w:sz="2" w:space="0" w:color="F0A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GridTable2-Accent4">
    <w:name w:val="Grid Table 2 Accent 4"/>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2" w:space="0" w:color="7BCFD7" w:themeColor="accent4" w:themeTint="99"/>
        <w:bottom w:val="single" w:sz="2" w:space="0" w:color="7BCFD7" w:themeColor="accent4" w:themeTint="99"/>
        <w:insideH w:val="single" w:sz="2" w:space="0" w:color="7BCFD7" w:themeColor="accent4" w:themeTint="99"/>
        <w:insideV w:val="single" w:sz="2" w:space="0" w:color="7BCFD7" w:themeColor="accent4" w:themeTint="99"/>
      </w:tblBorders>
    </w:tblPr>
    <w:tblStylePr w:type="firstRow">
      <w:rPr>
        <w:b/>
        <w:bCs/>
      </w:rPr>
      <w:tblPr/>
      <w:tcPr>
        <w:tcBorders>
          <w:top w:val="nil"/>
          <w:bottom w:val="single" w:sz="12" w:space="0" w:color="7BCFD7" w:themeColor="accent4" w:themeTint="99"/>
          <w:insideH w:val="nil"/>
          <w:insideV w:val="nil"/>
        </w:tcBorders>
        <w:shd w:val="clear" w:color="auto" w:fill="FFFFFF" w:themeFill="background1"/>
      </w:tcPr>
    </w:tblStylePr>
    <w:tblStylePr w:type="lastRow">
      <w:rPr>
        <w:b/>
        <w:bCs/>
      </w:rPr>
      <w:tblPr/>
      <w:tcPr>
        <w:tcBorders>
          <w:top w:val="double" w:sz="2" w:space="0" w:color="7BCFD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GridTable2-Accent5">
    <w:name w:val="Grid Table 2 Accent 5"/>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2" w:space="0" w:color="F58C91" w:themeColor="accent5" w:themeTint="99"/>
        <w:bottom w:val="single" w:sz="2" w:space="0" w:color="F58C91" w:themeColor="accent5" w:themeTint="99"/>
        <w:insideH w:val="single" w:sz="2" w:space="0" w:color="F58C91" w:themeColor="accent5" w:themeTint="99"/>
        <w:insideV w:val="single" w:sz="2" w:space="0" w:color="F58C91" w:themeColor="accent5" w:themeTint="99"/>
      </w:tblBorders>
    </w:tblPr>
    <w:tblStylePr w:type="firstRow">
      <w:rPr>
        <w:b/>
        <w:bCs/>
      </w:rPr>
      <w:tblPr/>
      <w:tcPr>
        <w:tcBorders>
          <w:top w:val="nil"/>
          <w:bottom w:val="single" w:sz="12" w:space="0" w:color="F58C91" w:themeColor="accent5" w:themeTint="99"/>
          <w:insideH w:val="nil"/>
          <w:insideV w:val="nil"/>
        </w:tcBorders>
        <w:shd w:val="clear" w:color="auto" w:fill="FFFFFF" w:themeFill="background1"/>
      </w:tcPr>
    </w:tblStylePr>
    <w:tblStylePr w:type="lastRow">
      <w:rPr>
        <w:b/>
        <w:bCs/>
      </w:rPr>
      <w:tblPr/>
      <w:tcPr>
        <w:tcBorders>
          <w:top w:val="double" w:sz="2" w:space="0" w:color="F58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GridTable2-Accent6">
    <w:name w:val="Grid Table 2 Accent 6"/>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2" w:space="0" w:color="DEBE79" w:themeColor="accent6" w:themeTint="99"/>
        <w:bottom w:val="single" w:sz="2" w:space="0" w:color="DEBE79" w:themeColor="accent6" w:themeTint="99"/>
        <w:insideH w:val="single" w:sz="2" w:space="0" w:color="DEBE79" w:themeColor="accent6" w:themeTint="99"/>
        <w:insideV w:val="single" w:sz="2" w:space="0" w:color="DEBE79" w:themeColor="accent6" w:themeTint="99"/>
      </w:tblBorders>
    </w:tblPr>
    <w:tblStylePr w:type="firstRow">
      <w:rPr>
        <w:b/>
        <w:bCs/>
      </w:rPr>
      <w:tblPr/>
      <w:tcPr>
        <w:tcBorders>
          <w:top w:val="nil"/>
          <w:bottom w:val="single" w:sz="12" w:space="0" w:color="DEBE79" w:themeColor="accent6" w:themeTint="99"/>
          <w:insideH w:val="nil"/>
          <w:insideV w:val="nil"/>
        </w:tcBorders>
        <w:shd w:val="clear" w:color="auto" w:fill="FFFFFF" w:themeFill="background1"/>
      </w:tcPr>
    </w:tblStylePr>
    <w:tblStylePr w:type="lastRow">
      <w:rPr>
        <w:b/>
        <w:bCs/>
      </w:rPr>
      <w:tblPr/>
      <w:tcPr>
        <w:tcBorders>
          <w:top w:val="double" w:sz="2" w:space="0" w:color="DEBE7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GridTable3">
    <w:name w:val="Grid Table 3"/>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insideV w:val="single" w:sz="4" w:space="0" w:color="7C7C7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4" w:themeFill="text1" w:themeFillTint="33"/>
      </w:tcPr>
    </w:tblStylePr>
    <w:tblStylePr w:type="band1Horz">
      <w:tblPr/>
      <w:tcPr>
        <w:shd w:val="clear" w:color="auto" w:fill="D3D3D4" w:themeFill="text1" w:themeFillTint="33"/>
      </w:tcPr>
    </w:tblStylePr>
    <w:tblStylePr w:type="neCell">
      <w:tblPr/>
      <w:tcPr>
        <w:tcBorders>
          <w:bottom w:val="single" w:sz="4" w:space="0" w:color="7C7C7F" w:themeColor="text1" w:themeTint="99"/>
        </w:tcBorders>
      </w:tcPr>
    </w:tblStylePr>
    <w:tblStylePr w:type="nwCell">
      <w:tblPr/>
      <w:tcPr>
        <w:tcBorders>
          <w:bottom w:val="single" w:sz="4" w:space="0" w:color="7C7C7F" w:themeColor="text1" w:themeTint="99"/>
        </w:tcBorders>
      </w:tcPr>
    </w:tblStylePr>
    <w:tblStylePr w:type="seCell">
      <w:tblPr/>
      <w:tcPr>
        <w:tcBorders>
          <w:top w:val="single" w:sz="4" w:space="0" w:color="7C7C7F" w:themeColor="text1" w:themeTint="99"/>
        </w:tcBorders>
      </w:tcPr>
    </w:tblStylePr>
    <w:tblStylePr w:type="swCell">
      <w:tblPr/>
      <w:tcPr>
        <w:tcBorders>
          <w:top w:val="single" w:sz="4" w:space="0" w:color="7C7C7F" w:themeColor="text1" w:themeTint="99"/>
        </w:tcBorders>
      </w:tcPr>
    </w:tblStylePr>
  </w:style>
  <w:style w:type="table" w:styleId="GridTable3-Accent1">
    <w:name w:val="Grid Table 3 Accent 1"/>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insideV w:val="single" w:sz="4" w:space="0" w:color="EC66B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CE5" w:themeFill="accent1" w:themeFillTint="33"/>
      </w:tcPr>
    </w:tblStylePr>
    <w:tblStylePr w:type="band1Horz">
      <w:tblPr/>
      <w:tcPr>
        <w:shd w:val="clear" w:color="auto" w:fill="F9CCE5" w:themeFill="accent1" w:themeFillTint="33"/>
      </w:tcPr>
    </w:tblStylePr>
    <w:tblStylePr w:type="neCell">
      <w:tblPr/>
      <w:tcPr>
        <w:tcBorders>
          <w:bottom w:val="single" w:sz="4" w:space="0" w:color="EC66B3" w:themeColor="accent1" w:themeTint="99"/>
        </w:tcBorders>
      </w:tcPr>
    </w:tblStylePr>
    <w:tblStylePr w:type="nwCell">
      <w:tblPr/>
      <w:tcPr>
        <w:tcBorders>
          <w:bottom w:val="single" w:sz="4" w:space="0" w:color="EC66B3" w:themeColor="accent1" w:themeTint="99"/>
        </w:tcBorders>
      </w:tcPr>
    </w:tblStylePr>
    <w:tblStylePr w:type="seCell">
      <w:tblPr/>
      <w:tcPr>
        <w:tcBorders>
          <w:top w:val="single" w:sz="4" w:space="0" w:color="EC66B3" w:themeColor="accent1" w:themeTint="99"/>
        </w:tcBorders>
      </w:tcPr>
    </w:tblStylePr>
    <w:tblStylePr w:type="swCell">
      <w:tblPr/>
      <w:tcPr>
        <w:tcBorders>
          <w:top w:val="single" w:sz="4" w:space="0" w:color="EC66B3" w:themeColor="accent1" w:themeTint="99"/>
        </w:tcBorders>
      </w:tcPr>
    </w:tblStylePr>
  </w:style>
  <w:style w:type="table" w:styleId="GridTable3-Accent2">
    <w:name w:val="Grid Table 3 Accent 2"/>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insideV w:val="single" w:sz="4" w:space="0" w:color="91CF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8" w:themeFill="accent2" w:themeFillTint="33"/>
      </w:tcPr>
    </w:tblStylePr>
    <w:tblStylePr w:type="band1Horz">
      <w:tblPr/>
      <w:tcPr>
        <w:shd w:val="clear" w:color="auto" w:fill="DAEFD8" w:themeFill="accent2" w:themeFillTint="33"/>
      </w:tcPr>
    </w:tblStylePr>
    <w:tblStylePr w:type="neCell">
      <w:tblPr/>
      <w:tcPr>
        <w:tcBorders>
          <w:bottom w:val="single" w:sz="4" w:space="0" w:color="91CF8C" w:themeColor="accent2" w:themeTint="99"/>
        </w:tcBorders>
      </w:tcPr>
    </w:tblStylePr>
    <w:tblStylePr w:type="nwCell">
      <w:tblPr/>
      <w:tcPr>
        <w:tcBorders>
          <w:bottom w:val="single" w:sz="4" w:space="0" w:color="91CF8C" w:themeColor="accent2" w:themeTint="99"/>
        </w:tcBorders>
      </w:tcPr>
    </w:tblStylePr>
    <w:tblStylePr w:type="seCell">
      <w:tblPr/>
      <w:tcPr>
        <w:tcBorders>
          <w:top w:val="single" w:sz="4" w:space="0" w:color="91CF8C" w:themeColor="accent2" w:themeTint="99"/>
        </w:tcBorders>
      </w:tcPr>
    </w:tblStylePr>
    <w:tblStylePr w:type="swCell">
      <w:tblPr/>
      <w:tcPr>
        <w:tcBorders>
          <w:top w:val="single" w:sz="4" w:space="0" w:color="91CF8C" w:themeColor="accent2" w:themeTint="99"/>
        </w:tcBorders>
      </w:tcPr>
    </w:tblStylePr>
  </w:style>
  <w:style w:type="table" w:styleId="GridTable3-Accent3">
    <w:name w:val="Grid Table 3 Accent 3"/>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insideV w:val="single" w:sz="4" w:space="0" w:color="F0A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D2" w:themeFill="accent3" w:themeFillTint="33"/>
      </w:tcPr>
    </w:tblStylePr>
    <w:tblStylePr w:type="band1Horz">
      <w:tblPr/>
      <w:tcPr>
        <w:shd w:val="clear" w:color="auto" w:fill="FAE4D2" w:themeFill="accent3" w:themeFillTint="33"/>
      </w:tcPr>
    </w:tblStylePr>
    <w:tblStylePr w:type="neCell">
      <w:tblPr/>
      <w:tcPr>
        <w:tcBorders>
          <w:bottom w:val="single" w:sz="4" w:space="0" w:color="F0AE78" w:themeColor="accent3" w:themeTint="99"/>
        </w:tcBorders>
      </w:tcPr>
    </w:tblStylePr>
    <w:tblStylePr w:type="nwCell">
      <w:tblPr/>
      <w:tcPr>
        <w:tcBorders>
          <w:bottom w:val="single" w:sz="4" w:space="0" w:color="F0AE78" w:themeColor="accent3" w:themeTint="99"/>
        </w:tcBorders>
      </w:tcPr>
    </w:tblStylePr>
    <w:tblStylePr w:type="seCell">
      <w:tblPr/>
      <w:tcPr>
        <w:tcBorders>
          <w:top w:val="single" w:sz="4" w:space="0" w:color="F0AE78" w:themeColor="accent3" w:themeTint="99"/>
        </w:tcBorders>
      </w:tcPr>
    </w:tblStylePr>
    <w:tblStylePr w:type="swCell">
      <w:tblPr/>
      <w:tcPr>
        <w:tcBorders>
          <w:top w:val="single" w:sz="4" w:space="0" w:color="F0AE78" w:themeColor="accent3" w:themeTint="99"/>
        </w:tcBorders>
      </w:tcPr>
    </w:tblStylePr>
  </w:style>
  <w:style w:type="table" w:styleId="GridTable3-Accent4">
    <w:name w:val="Grid Table 3 Accent 4"/>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insideV w:val="single" w:sz="4" w:space="0" w:color="7BCFD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FF2" w:themeFill="accent4" w:themeFillTint="33"/>
      </w:tcPr>
    </w:tblStylePr>
    <w:tblStylePr w:type="band1Horz">
      <w:tblPr/>
      <w:tcPr>
        <w:shd w:val="clear" w:color="auto" w:fill="D3EFF2" w:themeFill="accent4" w:themeFillTint="33"/>
      </w:tcPr>
    </w:tblStylePr>
    <w:tblStylePr w:type="neCell">
      <w:tblPr/>
      <w:tcPr>
        <w:tcBorders>
          <w:bottom w:val="single" w:sz="4" w:space="0" w:color="7BCFD7" w:themeColor="accent4" w:themeTint="99"/>
        </w:tcBorders>
      </w:tcPr>
    </w:tblStylePr>
    <w:tblStylePr w:type="nwCell">
      <w:tblPr/>
      <w:tcPr>
        <w:tcBorders>
          <w:bottom w:val="single" w:sz="4" w:space="0" w:color="7BCFD7" w:themeColor="accent4" w:themeTint="99"/>
        </w:tcBorders>
      </w:tcPr>
    </w:tblStylePr>
    <w:tblStylePr w:type="seCell">
      <w:tblPr/>
      <w:tcPr>
        <w:tcBorders>
          <w:top w:val="single" w:sz="4" w:space="0" w:color="7BCFD7" w:themeColor="accent4" w:themeTint="99"/>
        </w:tcBorders>
      </w:tcPr>
    </w:tblStylePr>
    <w:tblStylePr w:type="swCell">
      <w:tblPr/>
      <w:tcPr>
        <w:tcBorders>
          <w:top w:val="single" w:sz="4" w:space="0" w:color="7BCFD7" w:themeColor="accent4" w:themeTint="99"/>
        </w:tcBorders>
      </w:tcPr>
    </w:tblStylePr>
  </w:style>
  <w:style w:type="table" w:styleId="GridTable3-Accent5">
    <w:name w:val="Grid Table 3 Accent 5"/>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insideV w:val="single" w:sz="4" w:space="0" w:color="F58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A" w:themeFill="accent5" w:themeFillTint="33"/>
      </w:tcPr>
    </w:tblStylePr>
    <w:tblStylePr w:type="band1Horz">
      <w:tblPr/>
      <w:tcPr>
        <w:shd w:val="clear" w:color="auto" w:fill="FBD8DA" w:themeFill="accent5" w:themeFillTint="33"/>
      </w:tcPr>
    </w:tblStylePr>
    <w:tblStylePr w:type="neCell">
      <w:tblPr/>
      <w:tcPr>
        <w:tcBorders>
          <w:bottom w:val="single" w:sz="4" w:space="0" w:color="F58C91" w:themeColor="accent5" w:themeTint="99"/>
        </w:tcBorders>
      </w:tcPr>
    </w:tblStylePr>
    <w:tblStylePr w:type="nwCell">
      <w:tblPr/>
      <w:tcPr>
        <w:tcBorders>
          <w:bottom w:val="single" w:sz="4" w:space="0" w:color="F58C91" w:themeColor="accent5" w:themeTint="99"/>
        </w:tcBorders>
      </w:tcPr>
    </w:tblStylePr>
    <w:tblStylePr w:type="seCell">
      <w:tblPr/>
      <w:tcPr>
        <w:tcBorders>
          <w:top w:val="single" w:sz="4" w:space="0" w:color="F58C91" w:themeColor="accent5" w:themeTint="99"/>
        </w:tcBorders>
      </w:tcPr>
    </w:tblStylePr>
    <w:tblStylePr w:type="swCell">
      <w:tblPr/>
      <w:tcPr>
        <w:tcBorders>
          <w:top w:val="single" w:sz="4" w:space="0" w:color="F58C91" w:themeColor="accent5" w:themeTint="99"/>
        </w:tcBorders>
      </w:tcPr>
    </w:tblStylePr>
  </w:style>
  <w:style w:type="table" w:styleId="GridTable3-Accent6">
    <w:name w:val="Grid Table 3 Accent 6"/>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insideV w:val="single" w:sz="4" w:space="0" w:color="DEBE7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9D2" w:themeFill="accent6" w:themeFillTint="33"/>
      </w:tcPr>
    </w:tblStylePr>
    <w:tblStylePr w:type="band1Horz">
      <w:tblPr/>
      <w:tcPr>
        <w:shd w:val="clear" w:color="auto" w:fill="F4E9D2" w:themeFill="accent6" w:themeFillTint="33"/>
      </w:tcPr>
    </w:tblStylePr>
    <w:tblStylePr w:type="neCell">
      <w:tblPr/>
      <w:tcPr>
        <w:tcBorders>
          <w:bottom w:val="single" w:sz="4" w:space="0" w:color="DEBE79" w:themeColor="accent6" w:themeTint="99"/>
        </w:tcBorders>
      </w:tcPr>
    </w:tblStylePr>
    <w:tblStylePr w:type="nwCell">
      <w:tblPr/>
      <w:tcPr>
        <w:tcBorders>
          <w:bottom w:val="single" w:sz="4" w:space="0" w:color="DEBE79" w:themeColor="accent6" w:themeTint="99"/>
        </w:tcBorders>
      </w:tcPr>
    </w:tblStylePr>
    <w:tblStylePr w:type="seCell">
      <w:tblPr/>
      <w:tcPr>
        <w:tcBorders>
          <w:top w:val="single" w:sz="4" w:space="0" w:color="DEBE79" w:themeColor="accent6" w:themeTint="99"/>
        </w:tcBorders>
      </w:tcPr>
    </w:tblStylePr>
    <w:tblStylePr w:type="swCell">
      <w:tblPr/>
      <w:tcPr>
        <w:tcBorders>
          <w:top w:val="single" w:sz="4" w:space="0" w:color="DEBE79" w:themeColor="accent6" w:themeTint="99"/>
        </w:tcBorders>
      </w:tcPr>
    </w:tblStylePr>
  </w:style>
  <w:style w:type="table" w:styleId="GridTable4">
    <w:name w:val="Grid Table 4"/>
    <w:basedOn w:val="TableNormal"/>
    <w:uiPriority w:val="49"/>
    <w:rsid w:val="00050E6E"/>
    <w:pPr>
      <w:spacing w:before="80" w:after="80" w:line="240" w:lineRule="auto"/>
    </w:pPr>
    <w:rPr>
      <w:rFonts w:ascii="Montserrat Light" w:hAnsi="Montserrat Light"/>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rPr>
      <w:tblPr/>
      <w:tcPr>
        <w:tcBorders>
          <w:top w:val="single" w:sz="4" w:space="0" w:color="282829" w:themeColor="text1"/>
          <w:left w:val="single" w:sz="4" w:space="0" w:color="282829" w:themeColor="text1"/>
          <w:bottom w:val="single" w:sz="4" w:space="0" w:color="282829" w:themeColor="text1"/>
          <w:right w:val="single" w:sz="4" w:space="0" w:color="282829" w:themeColor="text1"/>
          <w:insideH w:val="nil"/>
          <w:insideV w:val="nil"/>
        </w:tcBorders>
        <w:shd w:val="clear" w:color="auto" w:fill="282829" w:themeFill="text1"/>
      </w:tcPr>
    </w:tblStylePr>
    <w:tblStylePr w:type="lastRow">
      <w:rPr>
        <w:b/>
        <w:bCs/>
      </w:rPr>
      <w:tblPr/>
      <w:tcPr>
        <w:tcBorders>
          <w:top w:val="double" w:sz="4" w:space="0" w:color="282829" w:themeColor="text1"/>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1">
    <w:name w:val="Grid Table 4 Accent 1"/>
    <w:basedOn w:val="TableNormal"/>
    <w:uiPriority w:val="49"/>
    <w:rsid w:val="00050E6E"/>
    <w:pPr>
      <w:spacing w:before="80" w:after="80" w:line="240" w:lineRule="auto"/>
    </w:pPr>
    <w:rPr>
      <w:rFonts w:ascii="Montserrat Light" w:hAnsi="Montserrat Light"/>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themeColor="background1"/>
      </w:rPr>
      <w:tblPr/>
      <w:tcPr>
        <w:tcBorders>
          <w:top w:val="single" w:sz="4" w:space="0" w:color="C9187E" w:themeColor="accent1"/>
          <w:left w:val="single" w:sz="4" w:space="0" w:color="C9187E" w:themeColor="accent1"/>
          <w:bottom w:val="single" w:sz="4" w:space="0" w:color="C9187E" w:themeColor="accent1"/>
          <w:right w:val="single" w:sz="4" w:space="0" w:color="C9187E" w:themeColor="accent1"/>
          <w:insideH w:val="nil"/>
          <w:insideV w:val="nil"/>
        </w:tcBorders>
        <w:shd w:val="clear" w:color="auto" w:fill="C9187E" w:themeFill="accent1"/>
      </w:tcPr>
    </w:tblStylePr>
    <w:tblStylePr w:type="lastRow">
      <w:rPr>
        <w:b/>
        <w:bCs/>
      </w:rPr>
      <w:tblPr/>
      <w:tcPr>
        <w:tcBorders>
          <w:top w:val="double" w:sz="4" w:space="0" w:color="C9187E" w:themeColor="accent1"/>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2">
    <w:name w:val="Grid Table 4 Accent 2"/>
    <w:basedOn w:val="TableNormal"/>
    <w:uiPriority w:val="49"/>
    <w:rsid w:val="00050E6E"/>
    <w:pPr>
      <w:spacing w:before="80" w:after="80" w:line="240" w:lineRule="auto"/>
    </w:pPr>
    <w:rPr>
      <w:rFonts w:ascii="Montserrat Light" w:hAnsi="Montserrat Light"/>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themeColor="background1"/>
      </w:rPr>
      <w:tblPr/>
      <w:tcPr>
        <w:tcBorders>
          <w:top w:val="single" w:sz="4" w:space="0" w:color="4EA947" w:themeColor="accent2"/>
          <w:left w:val="single" w:sz="4" w:space="0" w:color="4EA947" w:themeColor="accent2"/>
          <w:bottom w:val="single" w:sz="4" w:space="0" w:color="4EA947" w:themeColor="accent2"/>
          <w:right w:val="single" w:sz="4" w:space="0" w:color="4EA947" w:themeColor="accent2"/>
          <w:insideH w:val="nil"/>
          <w:insideV w:val="nil"/>
        </w:tcBorders>
        <w:shd w:val="clear" w:color="auto" w:fill="4EA947" w:themeFill="accent2"/>
      </w:tcPr>
    </w:tblStylePr>
    <w:tblStylePr w:type="lastRow">
      <w:rPr>
        <w:b/>
        <w:bCs/>
      </w:rPr>
      <w:tblPr/>
      <w:tcPr>
        <w:tcBorders>
          <w:top w:val="double" w:sz="4" w:space="0" w:color="4EA947" w:themeColor="accent2"/>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3">
    <w:name w:val="Grid Table 4 Accent 3"/>
    <w:basedOn w:val="TableNormal"/>
    <w:uiPriority w:val="49"/>
    <w:rsid w:val="00050E6E"/>
    <w:pPr>
      <w:spacing w:before="80" w:after="80" w:line="240" w:lineRule="auto"/>
    </w:pPr>
    <w:rPr>
      <w:rFonts w:ascii="Montserrat Light" w:hAnsi="Montserrat Light"/>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themeColor="background1"/>
      </w:rPr>
      <w:tblPr/>
      <w:tcPr>
        <w:tcBorders>
          <w:top w:val="single" w:sz="4" w:space="0" w:color="E6791E" w:themeColor="accent3"/>
          <w:left w:val="single" w:sz="4" w:space="0" w:color="E6791E" w:themeColor="accent3"/>
          <w:bottom w:val="single" w:sz="4" w:space="0" w:color="E6791E" w:themeColor="accent3"/>
          <w:right w:val="single" w:sz="4" w:space="0" w:color="E6791E" w:themeColor="accent3"/>
          <w:insideH w:val="nil"/>
          <w:insideV w:val="nil"/>
        </w:tcBorders>
        <w:shd w:val="clear" w:color="auto" w:fill="E6791E" w:themeFill="accent3"/>
      </w:tcPr>
    </w:tblStylePr>
    <w:tblStylePr w:type="lastRow">
      <w:rPr>
        <w:b/>
        <w:bCs/>
      </w:rPr>
      <w:tblPr/>
      <w:tcPr>
        <w:tcBorders>
          <w:top w:val="double" w:sz="4" w:space="0" w:color="E6791E" w:themeColor="accent3"/>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4">
    <w:name w:val="Grid Table 4 Accent 4"/>
    <w:basedOn w:val="TableNormal"/>
    <w:uiPriority w:val="49"/>
    <w:rsid w:val="00050E6E"/>
    <w:pPr>
      <w:spacing w:before="80" w:after="80" w:line="240" w:lineRule="auto"/>
    </w:pPr>
    <w:rPr>
      <w:rFonts w:ascii="Montserrat Light" w:hAnsi="Montserrat Light"/>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themeColor="background1"/>
      </w:rPr>
      <w:tblPr/>
      <w:tcPr>
        <w:tcBorders>
          <w:top w:val="single" w:sz="4" w:space="0" w:color="34A3AE" w:themeColor="accent4"/>
          <w:left w:val="single" w:sz="4" w:space="0" w:color="34A3AE" w:themeColor="accent4"/>
          <w:bottom w:val="single" w:sz="4" w:space="0" w:color="34A3AE" w:themeColor="accent4"/>
          <w:right w:val="single" w:sz="4" w:space="0" w:color="34A3AE" w:themeColor="accent4"/>
          <w:insideH w:val="nil"/>
          <w:insideV w:val="nil"/>
        </w:tcBorders>
        <w:shd w:val="clear" w:color="auto" w:fill="34A3AE" w:themeFill="accent4"/>
      </w:tcPr>
    </w:tblStylePr>
    <w:tblStylePr w:type="lastRow">
      <w:rPr>
        <w:b/>
        <w:bCs/>
      </w:rPr>
      <w:tblPr/>
      <w:tcPr>
        <w:tcBorders>
          <w:top w:val="double" w:sz="4" w:space="0" w:color="34A3AE" w:themeColor="accent4"/>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5">
    <w:name w:val="Grid Table 4 Accent 5"/>
    <w:basedOn w:val="TableNormal"/>
    <w:uiPriority w:val="49"/>
    <w:rsid w:val="00050E6E"/>
    <w:pPr>
      <w:spacing w:before="80" w:after="80" w:line="240" w:lineRule="auto"/>
    </w:pPr>
    <w:rPr>
      <w:rFonts w:ascii="Montserrat Light" w:hAnsi="Montserrat Light"/>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rPr>
      <w:tblPr/>
      <w:tcPr>
        <w:tcBorders>
          <w:top w:val="single" w:sz="4" w:space="0" w:color="EF404A" w:themeColor="accent5"/>
          <w:left w:val="single" w:sz="4" w:space="0" w:color="EF404A" w:themeColor="accent5"/>
          <w:bottom w:val="single" w:sz="4" w:space="0" w:color="EF404A" w:themeColor="accent5"/>
          <w:right w:val="single" w:sz="4" w:space="0" w:color="EF404A" w:themeColor="accent5"/>
          <w:insideH w:val="nil"/>
          <w:insideV w:val="nil"/>
        </w:tcBorders>
        <w:shd w:val="clear" w:color="auto" w:fill="EF404A" w:themeFill="accent5"/>
      </w:tcPr>
    </w:tblStylePr>
    <w:tblStylePr w:type="lastRow">
      <w:rPr>
        <w:b/>
        <w:bCs/>
      </w:rPr>
      <w:tblPr/>
      <w:tcPr>
        <w:tcBorders>
          <w:top w:val="double" w:sz="4" w:space="0" w:color="EF404A" w:themeColor="accent5"/>
        </w:tcBorders>
      </w:tcPr>
    </w:tblStylePr>
    <w:tblStylePr w:type="firstCol">
      <w:rPr>
        <w:b/>
        <w:bCs/>
      </w:rPr>
    </w:tblStylePr>
    <w:tblStylePr w:type="lastCol">
      <w:rPr>
        <w:b/>
        <w:bCs/>
      </w:rPr>
    </w:tblStylePr>
    <w:tblStylePr w:type="band1Horz">
      <w:tblPr/>
      <w:tcPr>
        <w:shd w:val="clear" w:color="auto" w:fill="F2F2F2"/>
      </w:tcPr>
    </w:tblStylePr>
  </w:style>
  <w:style w:type="table" w:styleId="GridTable4-Accent6">
    <w:name w:val="Grid Table 4 Accent 6"/>
    <w:basedOn w:val="TableNormal"/>
    <w:uiPriority w:val="49"/>
    <w:rsid w:val="00050E6E"/>
    <w:pPr>
      <w:spacing w:before="80" w:after="80" w:line="240" w:lineRule="auto"/>
    </w:pPr>
    <w:rPr>
      <w:rFonts w:ascii="Montserrat Light" w:hAnsi="Montserrat Light"/>
      <w:color w:val="282829"/>
      <w:sz w:val="20"/>
    </w:rPr>
    <w:tblPr>
      <w:tblStyleRowBandSize w:val="1"/>
      <w:tblStyleColBandSize w:val="1"/>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color w:val="FFFFFF" w:themeColor="background1"/>
      </w:rPr>
      <w:tblPr/>
      <w:tcPr>
        <w:tcBorders>
          <w:top w:val="single" w:sz="4" w:space="0" w:color="BB8F2E" w:themeColor="accent6"/>
          <w:left w:val="single" w:sz="4" w:space="0" w:color="BB8F2E" w:themeColor="accent6"/>
          <w:bottom w:val="single" w:sz="4" w:space="0" w:color="BB8F2E" w:themeColor="accent6"/>
          <w:right w:val="single" w:sz="4" w:space="0" w:color="BB8F2E" w:themeColor="accent6"/>
          <w:insideH w:val="nil"/>
          <w:insideV w:val="nil"/>
        </w:tcBorders>
        <w:shd w:val="clear" w:color="auto" w:fill="BB8F2E" w:themeFill="accent6"/>
      </w:tcPr>
    </w:tblStylePr>
    <w:tblStylePr w:type="lastRow">
      <w:rPr>
        <w:b/>
        <w:bCs/>
      </w:rPr>
      <w:tblPr/>
      <w:tcPr>
        <w:tcBorders>
          <w:top w:val="double" w:sz="4" w:space="0" w:color="BB8F2E" w:themeColor="accent6"/>
        </w:tcBorders>
      </w:tcPr>
    </w:tblStylePr>
    <w:tblStylePr w:type="firstCol">
      <w:rPr>
        <w:b/>
        <w:bCs/>
      </w:rPr>
    </w:tblStylePr>
    <w:tblStylePr w:type="lastCol">
      <w:rPr>
        <w:b/>
        <w:bCs/>
      </w:rPr>
    </w:tblStylePr>
    <w:tblStylePr w:type="band1Horz">
      <w:tblPr/>
      <w:tcPr>
        <w:shd w:val="clear" w:color="auto" w:fill="F2F2F2"/>
      </w:tcPr>
    </w:tblStylePr>
  </w:style>
  <w:style w:type="table" w:styleId="GridTable5Dark">
    <w:name w:val="Grid Table 5 Dark"/>
    <w:basedOn w:val="TableNormal"/>
    <w:uiPriority w:val="50"/>
    <w:rsid w:val="00050E6E"/>
    <w:pPr>
      <w:spacing w:before="80" w:after="80" w:line="240" w:lineRule="auto"/>
    </w:pPr>
    <w:rPr>
      <w:rFonts w:ascii="Montserrat Light" w:hAnsi="Montserrat Light"/>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4"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28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28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28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2829" w:themeFill="text1"/>
      </w:tcPr>
    </w:tblStylePr>
    <w:tblStylePr w:type="band1Vert">
      <w:tblPr/>
      <w:tcPr>
        <w:shd w:val="clear" w:color="auto" w:fill="A8A8AA" w:themeFill="text1" w:themeFillTint="66"/>
      </w:tcPr>
    </w:tblStylePr>
    <w:tblStylePr w:type="band1Horz">
      <w:tblPr/>
      <w:tcPr>
        <w:shd w:val="clear" w:color="auto" w:fill="A8A8AA" w:themeFill="text1" w:themeFillTint="66"/>
      </w:tcPr>
    </w:tblStylePr>
  </w:style>
  <w:style w:type="table" w:styleId="GridTable5Dark-Accent1">
    <w:name w:val="Grid Table 5 Dark Accent 1"/>
    <w:basedOn w:val="TableNormal"/>
    <w:uiPriority w:val="50"/>
    <w:rsid w:val="00050E6E"/>
    <w:pPr>
      <w:spacing w:before="80" w:after="80" w:line="240" w:lineRule="auto"/>
    </w:pPr>
    <w:rPr>
      <w:rFonts w:ascii="Montserrat Light" w:hAnsi="Montserrat Light"/>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C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187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187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187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187E" w:themeFill="accent1"/>
      </w:tcPr>
    </w:tblStylePr>
    <w:tblStylePr w:type="band1Vert">
      <w:tblPr/>
      <w:tcPr>
        <w:shd w:val="clear" w:color="auto" w:fill="F299CC" w:themeFill="accent1" w:themeFillTint="66"/>
      </w:tcPr>
    </w:tblStylePr>
    <w:tblStylePr w:type="band1Horz">
      <w:tblPr/>
      <w:tcPr>
        <w:shd w:val="clear" w:color="auto" w:fill="F299CC" w:themeFill="accent1" w:themeFillTint="66"/>
      </w:tcPr>
    </w:tblStylePr>
  </w:style>
  <w:style w:type="table" w:styleId="GridTable5Dark-Accent2">
    <w:name w:val="Grid Table 5 Dark Accent 2"/>
    <w:basedOn w:val="TableNormal"/>
    <w:uiPriority w:val="50"/>
    <w:rsid w:val="00050E6E"/>
    <w:pPr>
      <w:spacing w:before="80" w:after="80" w:line="240" w:lineRule="auto"/>
    </w:pPr>
    <w:rPr>
      <w:rFonts w:ascii="Montserrat Light" w:hAnsi="Montserrat Light"/>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9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9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9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947" w:themeFill="accent2"/>
      </w:tcPr>
    </w:tblStylePr>
    <w:tblStylePr w:type="band1Vert">
      <w:tblPr/>
      <w:tcPr>
        <w:shd w:val="clear" w:color="auto" w:fill="B5DFB2" w:themeFill="accent2" w:themeFillTint="66"/>
      </w:tcPr>
    </w:tblStylePr>
    <w:tblStylePr w:type="band1Horz">
      <w:tblPr/>
      <w:tcPr>
        <w:shd w:val="clear" w:color="auto" w:fill="B5DFB2" w:themeFill="accent2" w:themeFillTint="66"/>
      </w:tcPr>
    </w:tblStylePr>
  </w:style>
  <w:style w:type="table" w:styleId="GridTable5Dark-Accent3">
    <w:name w:val="Grid Table 5 Dark Accent 3"/>
    <w:basedOn w:val="TableNormal"/>
    <w:uiPriority w:val="50"/>
    <w:rsid w:val="00050E6E"/>
    <w:pPr>
      <w:spacing w:before="80" w:after="80" w:line="240" w:lineRule="auto"/>
    </w:pPr>
    <w:rPr>
      <w:rFonts w:ascii="Montserrat Light" w:hAnsi="Montserrat Light"/>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791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791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791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791E" w:themeFill="accent3"/>
      </w:tcPr>
    </w:tblStylePr>
    <w:tblStylePr w:type="band1Vert">
      <w:tblPr/>
      <w:tcPr>
        <w:shd w:val="clear" w:color="auto" w:fill="F5C9A5" w:themeFill="accent3" w:themeFillTint="66"/>
      </w:tcPr>
    </w:tblStylePr>
    <w:tblStylePr w:type="band1Horz">
      <w:tblPr/>
      <w:tcPr>
        <w:shd w:val="clear" w:color="auto" w:fill="F5C9A5" w:themeFill="accent3" w:themeFillTint="66"/>
      </w:tcPr>
    </w:tblStylePr>
  </w:style>
  <w:style w:type="table" w:styleId="GridTable5Dark-Accent4">
    <w:name w:val="Grid Table 5 Dark Accent 4"/>
    <w:basedOn w:val="TableNormal"/>
    <w:uiPriority w:val="50"/>
    <w:rsid w:val="00050E6E"/>
    <w:pPr>
      <w:spacing w:before="80" w:after="80" w:line="240" w:lineRule="auto"/>
    </w:pPr>
    <w:rPr>
      <w:rFonts w:ascii="Montserrat Light" w:hAnsi="Montserrat Light"/>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F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3A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3A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3A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3AE" w:themeFill="accent4"/>
      </w:tcPr>
    </w:tblStylePr>
    <w:tblStylePr w:type="band1Vert">
      <w:tblPr/>
      <w:tcPr>
        <w:shd w:val="clear" w:color="auto" w:fill="A7DFE4" w:themeFill="accent4" w:themeFillTint="66"/>
      </w:tcPr>
    </w:tblStylePr>
    <w:tblStylePr w:type="band1Horz">
      <w:tblPr/>
      <w:tcPr>
        <w:shd w:val="clear" w:color="auto" w:fill="A7DFE4" w:themeFill="accent4" w:themeFillTint="66"/>
      </w:tcPr>
    </w:tblStylePr>
  </w:style>
  <w:style w:type="table" w:styleId="GridTable5Dark-Accent5">
    <w:name w:val="Grid Table 5 Dark Accent 5"/>
    <w:basedOn w:val="TableNormal"/>
    <w:uiPriority w:val="50"/>
    <w:rsid w:val="00050E6E"/>
    <w:pPr>
      <w:spacing w:before="80" w:after="80" w:line="240" w:lineRule="auto"/>
    </w:pPr>
    <w:rPr>
      <w:rFonts w:ascii="Montserrat Light" w:hAnsi="Montserrat Light"/>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404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404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404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404A" w:themeFill="accent5"/>
      </w:tcPr>
    </w:tblStylePr>
    <w:tblStylePr w:type="band1Vert">
      <w:tblPr/>
      <w:tcPr>
        <w:shd w:val="clear" w:color="auto" w:fill="F8B2B6" w:themeFill="accent5" w:themeFillTint="66"/>
      </w:tcPr>
    </w:tblStylePr>
    <w:tblStylePr w:type="band1Horz">
      <w:tblPr/>
      <w:tcPr>
        <w:shd w:val="clear" w:color="auto" w:fill="F8B2B6" w:themeFill="accent5" w:themeFillTint="66"/>
      </w:tcPr>
    </w:tblStylePr>
  </w:style>
  <w:style w:type="table" w:styleId="GridTable5Dark-Accent6">
    <w:name w:val="Grid Table 5 Dark Accent 6"/>
    <w:basedOn w:val="TableNormal"/>
    <w:uiPriority w:val="50"/>
    <w:rsid w:val="00050E6E"/>
    <w:pPr>
      <w:spacing w:before="80" w:after="80" w:line="240" w:lineRule="auto"/>
    </w:pPr>
    <w:rPr>
      <w:rFonts w:ascii="Montserrat Light" w:hAnsi="Montserrat Light"/>
      <w:color w:val="28282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9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8F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8F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8F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8F2E" w:themeFill="accent6"/>
      </w:tcPr>
    </w:tblStylePr>
    <w:tblStylePr w:type="band1Vert">
      <w:tblPr/>
      <w:tcPr>
        <w:shd w:val="clear" w:color="auto" w:fill="E9D4A5" w:themeFill="accent6" w:themeFillTint="66"/>
      </w:tcPr>
    </w:tblStylePr>
    <w:tblStylePr w:type="band1Horz">
      <w:tblPr/>
      <w:tcPr>
        <w:shd w:val="clear" w:color="auto" w:fill="E9D4A5" w:themeFill="accent6" w:themeFillTint="66"/>
      </w:tcPr>
    </w:tblStylePr>
  </w:style>
  <w:style w:type="table" w:styleId="GridTable6Colorful">
    <w:name w:val="Grid Table 6 Colorful"/>
    <w:basedOn w:val="TableNormal"/>
    <w:uiPriority w:val="51"/>
    <w:rsid w:val="00050E6E"/>
    <w:pPr>
      <w:spacing w:before="80" w:after="80" w:line="240" w:lineRule="auto"/>
    </w:pPr>
    <w:rPr>
      <w:rFonts w:ascii="Montserrat Light" w:hAnsi="Montserrat Light"/>
      <w:color w:val="282829" w:themeColor="text1"/>
    </w:r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insideV w:val="single" w:sz="4" w:space="0" w:color="7C7C7F" w:themeColor="text1" w:themeTint="99"/>
      </w:tblBorders>
    </w:tblPr>
    <w:tblStylePr w:type="firstRow">
      <w:rPr>
        <w:b/>
        <w:bCs/>
      </w:rPr>
      <w:tblPr/>
      <w:tcPr>
        <w:tcBorders>
          <w:bottom w:val="single" w:sz="12" w:space="0" w:color="7C7C7F" w:themeColor="text1" w:themeTint="99"/>
        </w:tcBorders>
      </w:tcPr>
    </w:tblStylePr>
    <w:tblStylePr w:type="lastRow">
      <w:rPr>
        <w:b/>
        <w:bCs/>
      </w:rPr>
      <w:tblPr/>
      <w:tcPr>
        <w:tcBorders>
          <w:top w:val="double" w:sz="4" w:space="0" w:color="7C7C7F" w:themeColor="text1" w:themeTint="99"/>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GridTable6Colorful-Accent1">
    <w:name w:val="Grid Table 6 Colorful Accent 1"/>
    <w:basedOn w:val="TableNormal"/>
    <w:uiPriority w:val="51"/>
    <w:rsid w:val="00050E6E"/>
    <w:pPr>
      <w:spacing w:before="80" w:after="80" w:line="240" w:lineRule="auto"/>
    </w:pPr>
    <w:rPr>
      <w:rFonts w:ascii="Montserrat Light" w:hAnsi="Montserrat Light"/>
      <w:color w:val="96125D" w:themeColor="accent1" w:themeShade="BF"/>
    </w:r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insideV w:val="single" w:sz="4" w:space="0" w:color="EC66B3" w:themeColor="accent1" w:themeTint="99"/>
      </w:tblBorders>
    </w:tblPr>
    <w:tblStylePr w:type="firstRow">
      <w:rPr>
        <w:b/>
        <w:bCs/>
      </w:rPr>
      <w:tblPr/>
      <w:tcPr>
        <w:tcBorders>
          <w:bottom w:val="single" w:sz="12" w:space="0" w:color="EC66B3" w:themeColor="accent1" w:themeTint="99"/>
        </w:tcBorders>
      </w:tcPr>
    </w:tblStylePr>
    <w:tblStylePr w:type="lastRow">
      <w:rPr>
        <w:b/>
        <w:bCs/>
      </w:rPr>
      <w:tblPr/>
      <w:tcPr>
        <w:tcBorders>
          <w:top w:val="double" w:sz="4" w:space="0" w:color="EC66B3" w:themeColor="accent1" w:themeTint="99"/>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GridTable6Colorful-Accent2">
    <w:name w:val="Grid Table 6 Colorful Accent 2"/>
    <w:basedOn w:val="TableNormal"/>
    <w:uiPriority w:val="51"/>
    <w:rsid w:val="00050E6E"/>
    <w:pPr>
      <w:spacing w:before="80" w:after="80" w:line="240" w:lineRule="auto"/>
    </w:pPr>
    <w:rPr>
      <w:rFonts w:ascii="Montserrat Light" w:hAnsi="Montserrat Light"/>
      <w:color w:val="3A7E35" w:themeColor="accent2" w:themeShade="BF"/>
    </w:r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insideV w:val="single" w:sz="4" w:space="0" w:color="91CF8C" w:themeColor="accent2" w:themeTint="99"/>
      </w:tblBorders>
    </w:tblPr>
    <w:tblStylePr w:type="firstRow">
      <w:rPr>
        <w:b/>
        <w:bCs/>
      </w:rPr>
      <w:tblPr/>
      <w:tcPr>
        <w:tcBorders>
          <w:bottom w:val="single" w:sz="12" w:space="0" w:color="91CF8C" w:themeColor="accent2" w:themeTint="99"/>
        </w:tcBorders>
      </w:tcPr>
    </w:tblStylePr>
    <w:tblStylePr w:type="lastRow">
      <w:rPr>
        <w:b/>
        <w:bCs/>
      </w:rPr>
      <w:tblPr/>
      <w:tcPr>
        <w:tcBorders>
          <w:top w:val="double" w:sz="4" w:space="0" w:color="91CF8C" w:themeColor="accent2" w:themeTint="99"/>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GridTable6Colorful-Accent3">
    <w:name w:val="Grid Table 6 Colorful Accent 3"/>
    <w:basedOn w:val="TableNormal"/>
    <w:uiPriority w:val="51"/>
    <w:rsid w:val="00050E6E"/>
    <w:pPr>
      <w:spacing w:before="80" w:after="80" w:line="240" w:lineRule="auto"/>
    </w:pPr>
    <w:rPr>
      <w:rFonts w:ascii="Montserrat Light" w:hAnsi="Montserrat Light"/>
      <w:color w:val="AF5A13" w:themeColor="accent3" w:themeShade="BF"/>
    </w:r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insideV w:val="single" w:sz="4" w:space="0" w:color="F0AE78" w:themeColor="accent3" w:themeTint="99"/>
      </w:tblBorders>
    </w:tblPr>
    <w:tblStylePr w:type="firstRow">
      <w:rPr>
        <w:b/>
        <w:bCs/>
      </w:rPr>
      <w:tblPr/>
      <w:tcPr>
        <w:tcBorders>
          <w:bottom w:val="single" w:sz="12" w:space="0" w:color="F0AE78" w:themeColor="accent3" w:themeTint="99"/>
        </w:tcBorders>
      </w:tcPr>
    </w:tblStylePr>
    <w:tblStylePr w:type="lastRow">
      <w:rPr>
        <w:b/>
        <w:bCs/>
      </w:rPr>
      <w:tblPr/>
      <w:tcPr>
        <w:tcBorders>
          <w:top w:val="double" w:sz="4" w:space="0" w:color="F0AE78" w:themeColor="accent3" w:themeTint="99"/>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GridTable6Colorful-Accent4">
    <w:name w:val="Grid Table 6 Colorful Accent 4"/>
    <w:basedOn w:val="TableNormal"/>
    <w:uiPriority w:val="51"/>
    <w:rsid w:val="00050E6E"/>
    <w:pPr>
      <w:spacing w:before="80" w:after="80" w:line="240" w:lineRule="auto"/>
    </w:pPr>
    <w:rPr>
      <w:rFonts w:ascii="Montserrat Light" w:hAnsi="Montserrat Light"/>
      <w:color w:val="277982" w:themeColor="accent4" w:themeShade="BF"/>
    </w:r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insideV w:val="single" w:sz="4" w:space="0" w:color="7BCFD7" w:themeColor="accent4" w:themeTint="99"/>
      </w:tblBorders>
    </w:tblPr>
    <w:tblStylePr w:type="firstRow">
      <w:rPr>
        <w:b/>
        <w:bCs/>
      </w:rPr>
      <w:tblPr/>
      <w:tcPr>
        <w:tcBorders>
          <w:bottom w:val="single" w:sz="12" w:space="0" w:color="7BCFD7" w:themeColor="accent4" w:themeTint="99"/>
        </w:tcBorders>
      </w:tcPr>
    </w:tblStylePr>
    <w:tblStylePr w:type="lastRow">
      <w:rPr>
        <w:b/>
        <w:bCs/>
      </w:rPr>
      <w:tblPr/>
      <w:tcPr>
        <w:tcBorders>
          <w:top w:val="double" w:sz="4" w:space="0" w:color="7BCFD7" w:themeColor="accent4" w:themeTint="99"/>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GridTable6Colorful-Accent5">
    <w:name w:val="Grid Table 6 Colorful Accent 5"/>
    <w:basedOn w:val="TableNormal"/>
    <w:uiPriority w:val="51"/>
    <w:rsid w:val="00050E6E"/>
    <w:pPr>
      <w:spacing w:before="80" w:after="80" w:line="240" w:lineRule="auto"/>
    </w:pPr>
    <w:rPr>
      <w:rFonts w:ascii="Montserrat Light" w:hAnsi="Montserrat Light"/>
      <w:color w:val="D1111C" w:themeColor="accent5" w:themeShade="BF"/>
    </w:r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insideV w:val="single" w:sz="4" w:space="0" w:color="F58C91" w:themeColor="accent5" w:themeTint="99"/>
      </w:tblBorders>
    </w:tblPr>
    <w:tblStylePr w:type="firstRow">
      <w:rPr>
        <w:b/>
        <w:bCs/>
      </w:rPr>
      <w:tblPr/>
      <w:tcPr>
        <w:tcBorders>
          <w:bottom w:val="single" w:sz="12" w:space="0" w:color="F58C91" w:themeColor="accent5" w:themeTint="99"/>
        </w:tcBorders>
      </w:tcPr>
    </w:tblStylePr>
    <w:tblStylePr w:type="lastRow">
      <w:rPr>
        <w:b/>
        <w:bCs/>
      </w:rPr>
      <w:tblPr/>
      <w:tcPr>
        <w:tcBorders>
          <w:top w:val="double" w:sz="4" w:space="0" w:color="F58C91" w:themeColor="accent5" w:themeTint="99"/>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GridTable6Colorful-Accent6">
    <w:name w:val="Grid Table 6 Colorful Accent 6"/>
    <w:basedOn w:val="TableNormal"/>
    <w:uiPriority w:val="51"/>
    <w:rsid w:val="00050E6E"/>
    <w:pPr>
      <w:spacing w:before="80" w:after="80" w:line="240" w:lineRule="auto"/>
    </w:pPr>
    <w:rPr>
      <w:rFonts w:ascii="Montserrat Light" w:hAnsi="Montserrat Light"/>
      <w:color w:val="8B6A22" w:themeColor="accent6" w:themeShade="BF"/>
    </w:r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insideV w:val="single" w:sz="4" w:space="0" w:color="DEBE79" w:themeColor="accent6" w:themeTint="99"/>
      </w:tblBorders>
    </w:tblPr>
    <w:tblStylePr w:type="firstRow">
      <w:rPr>
        <w:b/>
        <w:bCs/>
      </w:rPr>
      <w:tblPr/>
      <w:tcPr>
        <w:tcBorders>
          <w:bottom w:val="single" w:sz="12" w:space="0" w:color="DEBE79" w:themeColor="accent6" w:themeTint="99"/>
        </w:tcBorders>
      </w:tcPr>
    </w:tblStylePr>
    <w:tblStylePr w:type="lastRow">
      <w:rPr>
        <w:b/>
        <w:bCs/>
      </w:rPr>
      <w:tblPr/>
      <w:tcPr>
        <w:tcBorders>
          <w:top w:val="double" w:sz="4" w:space="0" w:color="DEBE79" w:themeColor="accent6" w:themeTint="99"/>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GridTable7Colorful">
    <w:name w:val="Grid Table 7 Colorful"/>
    <w:basedOn w:val="TableNormal"/>
    <w:uiPriority w:val="52"/>
    <w:rsid w:val="00050E6E"/>
    <w:pPr>
      <w:spacing w:before="80" w:after="80" w:line="240" w:lineRule="auto"/>
    </w:pPr>
    <w:rPr>
      <w:rFonts w:ascii="Montserrat Light" w:hAnsi="Montserrat Light"/>
      <w:color w:val="282829" w:themeColor="text1"/>
    </w:r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insideV w:val="single" w:sz="4" w:space="0" w:color="7C7C7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4" w:themeFill="text1" w:themeFillTint="33"/>
      </w:tcPr>
    </w:tblStylePr>
    <w:tblStylePr w:type="band1Horz">
      <w:tblPr/>
      <w:tcPr>
        <w:shd w:val="clear" w:color="auto" w:fill="D3D3D4" w:themeFill="text1" w:themeFillTint="33"/>
      </w:tcPr>
    </w:tblStylePr>
    <w:tblStylePr w:type="neCell">
      <w:tblPr/>
      <w:tcPr>
        <w:tcBorders>
          <w:bottom w:val="single" w:sz="4" w:space="0" w:color="7C7C7F" w:themeColor="text1" w:themeTint="99"/>
        </w:tcBorders>
      </w:tcPr>
    </w:tblStylePr>
    <w:tblStylePr w:type="nwCell">
      <w:tblPr/>
      <w:tcPr>
        <w:tcBorders>
          <w:bottom w:val="single" w:sz="4" w:space="0" w:color="7C7C7F" w:themeColor="text1" w:themeTint="99"/>
        </w:tcBorders>
      </w:tcPr>
    </w:tblStylePr>
    <w:tblStylePr w:type="seCell">
      <w:tblPr/>
      <w:tcPr>
        <w:tcBorders>
          <w:top w:val="single" w:sz="4" w:space="0" w:color="7C7C7F" w:themeColor="text1" w:themeTint="99"/>
        </w:tcBorders>
      </w:tcPr>
    </w:tblStylePr>
    <w:tblStylePr w:type="swCell">
      <w:tblPr/>
      <w:tcPr>
        <w:tcBorders>
          <w:top w:val="single" w:sz="4" w:space="0" w:color="7C7C7F" w:themeColor="text1" w:themeTint="99"/>
        </w:tcBorders>
      </w:tcPr>
    </w:tblStylePr>
  </w:style>
  <w:style w:type="table" w:styleId="GridTable7Colorful-Accent1">
    <w:name w:val="Grid Table 7 Colorful Accent 1"/>
    <w:basedOn w:val="TableNormal"/>
    <w:uiPriority w:val="52"/>
    <w:rsid w:val="00050E6E"/>
    <w:pPr>
      <w:spacing w:before="80" w:after="80" w:line="240" w:lineRule="auto"/>
    </w:pPr>
    <w:rPr>
      <w:rFonts w:ascii="Montserrat Light" w:hAnsi="Montserrat Light"/>
      <w:color w:val="96125D" w:themeColor="accent1" w:themeShade="BF"/>
    </w:r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insideV w:val="single" w:sz="4" w:space="0" w:color="EC66B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CE5" w:themeFill="accent1" w:themeFillTint="33"/>
      </w:tcPr>
    </w:tblStylePr>
    <w:tblStylePr w:type="band1Horz">
      <w:tblPr/>
      <w:tcPr>
        <w:shd w:val="clear" w:color="auto" w:fill="F9CCE5" w:themeFill="accent1" w:themeFillTint="33"/>
      </w:tcPr>
    </w:tblStylePr>
    <w:tblStylePr w:type="neCell">
      <w:tblPr/>
      <w:tcPr>
        <w:tcBorders>
          <w:bottom w:val="single" w:sz="4" w:space="0" w:color="EC66B3" w:themeColor="accent1" w:themeTint="99"/>
        </w:tcBorders>
      </w:tcPr>
    </w:tblStylePr>
    <w:tblStylePr w:type="nwCell">
      <w:tblPr/>
      <w:tcPr>
        <w:tcBorders>
          <w:bottom w:val="single" w:sz="4" w:space="0" w:color="EC66B3" w:themeColor="accent1" w:themeTint="99"/>
        </w:tcBorders>
      </w:tcPr>
    </w:tblStylePr>
    <w:tblStylePr w:type="seCell">
      <w:tblPr/>
      <w:tcPr>
        <w:tcBorders>
          <w:top w:val="single" w:sz="4" w:space="0" w:color="EC66B3" w:themeColor="accent1" w:themeTint="99"/>
        </w:tcBorders>
      </w:tcPr>
    </w:tblStylePr>
    <w:tblStylePr w:type="swCell">
      <w:tblPr/>
      <w:tcPr>
        <w:tcBorders>
          <w:top w:val="single" w:sz="4" w:space="0" w:color="EC66B3" w:themeColor="accent1" w:themeTint="99"/>
        </w:tcBorders>
      </w:tcPr>
    </w:tblStylePr>
  </w:style>
  <w:style w:type="table" w:styleId="GridTable7Colorful-Accent2">
    <w:name w:val="Grid Table 7 Colorful Accent 2"/>
    <w:basedOn w:val="TableNormal"/>
    <w:uiPriority w:val="52"/>
    <w:rsid w:val="00050E6E"/>
    <w:pPr>
      <w:spacing w:before="80" w:after="80" w:line="240" w:lineRule="auto"/>
    </w:pPr>
    <w:rPr>
      <w:rFonts w:ascii="Montserrat Light" w:hAnsi="Montserrat Light"/>
      <w:color w:val="3A7E35" w:themeColor="accent2" w:themeShade="BF"/>
    </w:r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insideV w:val="single" w:sz="4" w:space="0" w:color="91CF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8" w:themeFill="accent2" w:themeFillTint="33"/>
      </w:tcPr>
    </w:tblStylePr>
    <w:tblStylePr w:type="band1Horz">
      <w:tblPr/>
      <w:tcPr>
        <w:shd w:val="clear" w:color="auto" w:fill="DAEFD8" w:themeFill="accent2" w:themeFillTint="33"/>
      </w:tcPr>
    </w:tblStylePr>
    <w:tblStylePr w:type="neCell">
      <w:tblPr/>
      <w:tcPr>
        <w:tcBorders>
          <w:bottom w:val="single" w:sz="4" w:space="0" w:color="91CF8C" w:themeColor="accent2" w:themeTint="99"/>
        </w:tcBorders>
      </w:tcPr>
    </w:tblStylePr>
    <w:tblStylePr w:type="nwCell">
      <w:tblPr/>
      <w:tcPr>
        <w:tcBorders>
          <w:bottom w:val="single" w:sz="4" w:space="0" w:color="91CF8C" w:themeColor="accent2" w:themeTint="99"/>
        </w:tcBorders>
      </w:tcPr>
    </w:tblStylePr>
    <w:tblStylePr w:type="seCell">
      <w:tblPr/>
      <w:tcPr>
        <w:tcBorders>
          <w:top w:val="single" w:sz="4" w:space="0" w:color="91CF8C" w:themeColor="accent2" w:themeTint="99"/>
        </w:tcBorders>
      </w:tcPr>
    </w:tblStylePr>
    <w:tblStylePr w:type="swCell">
      <w:tblPr/>
      <w:tcPr>
        <w:tcBorders>
          <w:top w:val="single" w:sz="4" w:space="0" w:color="91CF8C" w:themeColor="accent2" w:themeTint="99"/>
        </w:tcBorders>
      </w:tcPr>
    </w:tblStylePr>
  </w:style>
  <w:style w:type="table" w:styleId="GridTable7Colorful-Accent3">
    <w:name w:val="Grid Table 7 Colorful Accent 3"/>
    <w:basedOn w:val="TableNormal"/>
    <w:uiPriority w:val="52"/>
    <w:rsid w:val="00050E6E"/>
    <w:pPr>
      <w:spacing w:before="80" w:after="80" w:line="240" w:lineRule="auto"/>
    </w:pPr>
    <w:rPr>
      <w:rFonts w:ascii="Montserrat Light" w:hAnsi="Montserrat Light"/>
      <w:color w:val="AF5A13" w:themeColor="accent3" w:themeShade="BF"/>
    </w:r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insideV w:val="single" w:sz="4" w:space="0" w:color="F0A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D2" w:themeFill="accent3" w:themeFillTint="33"/>
      </w:tcPr>
    </w:tblStylePr>
    <w:tblStylePr w:type="band1Horz">
      <w:tblPr/>
      <w:tcPr>
        <w:shd w:val="clear" w:color="auto" w:fill="FAE4D2" w:themeFill="accent3" w:themeFillTint="33"/>
      </w:tcPr>
    </w:tblStylePr>
    <w:tblStylePr w:type="neCell">
      <w:tblPr/>
      <w:tcPr>
        <w:tcBorders>
          <w:bottom w:val="single" w:sz="4" w:space="0" w:color="F0AE78" w:themeColor="accent3" w:themeTint="99"/>
        </w:tcBorders>
      </w:tcPr>
    </w:tblStylePr>
    <w:tblStylePr w:type="nwCell">
      <w:tblPr/>
      <w:tcPr>
        <w:tcBorders>
          <w:bottom w:val="single" w:sz="4" w:space="0" w:color="F0AE78" w:themeColor="accent3" w:themeTint="99"/>
        </w:tcBorders>
      </w:tcPr>
    </w:tblStylePr>
    <w:tblStylePr w:type="seCell">
      <w:tblPr/>
      <w:tcPr>
        <w:tcBorders>
          <w:top w:val="single" w:sz="4" w:space="0" w:color="F0AE78" w:themeColor="accent3" w:themeTint="99"/>
        </w:tcBorders>
      </w:tcPr>
    </w:tblStylePr>
    <w:tblStylePr w:type="swCell">
      <w:tblPr/>
      <w:tcPr>
        <w:tcBorders>
          <w:top w:val="single" w:sz="4" w:space="0" w:color="F0AE78" w:themeColor="accent3" w:themeTint="99"/>
        </w:tcBorders>
      </w:tcPr>
    </w:tblStylePr>
  </w:style>
  <w:style w:type="table" w:styleId="GridTable7Colorful-Accent4">
    <w:name w:val="Grid Table 7 Colorful Accent 4"/>
    <w:basedOn w:val="TableNormal"/>
    <w:uiPriority w:val="52"/>
    <w:rsid w:val="00050E6E"/>
    <w:pPr>
      <w:spacing w:before="80" w:after="80" w:line="240" w:lineRule="auto"/>
    </w:pPr>
    <w:rPr>
      <w:rFonts w:ascii="Montserrat Light" w:hAnsi="Montserrat Light"/>
      <w:color w:val="277982" w:themeColor="accent4" w:themeShade="BF"/>
    </w:r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insideV w:val="single" w:sz="4" w:space="0" w:color="7BCFD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FF2" w:themeFill="accent4" w:themeFillTint="33"/>
      </w:tcPr>
    </w:tblStylePr>
    <w:tblStylePr w:type="band1Horz">
      <w:tblPr/>
      <w:tcPr>
        <w:shd w:val="clear" w:color="auto" w:fill="D3EFF2" w:themeFill="accent4" w:themeFillTint="33"/>
      </w:tcPr>
    </w:tblStylePr>
    <w:tblStylePr w:type="neCell">
      <w:tblPr/>
      <w:tcPr>
        <w:tcBorders>
          <w:bottom w:val="single" w:sz="4" w:space="0" w:color="7BCFD7" w:themeColor="accent4" w:themeTint="99"/>
        </w:tcBorders>
      </w:tcPr>
    </w:tblStylePr>
    <w:tblStylePr w:type="nwCell">
      <w:tblPr/>
      <w:tcPr>
        <w:tcBorders>
          <w:bottom w:val="single" w:sz="4" w:space="0" w:color="7BCFD7" w:themeColor="accent4" w:themeTint="99"/>
        </w:tcBorders>
      </w:tcPr>
    </w:tblStylePr>
    <w:tblStylePr w:type="seCell">
      <w:tblPr/>
      <w:tcPr>
        <w:tcBorders>
          <w:top w:val="single" w:sz="4" w:space="0" w:color="7BCFD7" w:themeColor="accent4" w:themeTint="99"/>
        </w:tcBorders>
      </w:tcPr>
    </w:tblStylePr>
    <w:tblStylePr w:type="swCell">
      <w:tblPr/>
      <w:tcPr>
        <w:tcBorders>
          <w:top w:val="single" w:sz="4" w:space="0" w:color="7BCFD7" w:themeColor="accent4" w:themeTint="99"/>
        </w:tcBorders>
      </w:tcPr>
    </w:tblStylePr>
  </w:style>
  <w:style w:type="table" w:styleId="GridTable7Colorful-Accent5">
    <w:name w:val="Grid Table 7 Colorful Accent 5"/>
    <w:basedOn w:val="TableNormal"/>
    <w:uiPriority w:val="52"/>
    <w:rsid w:val="00050E6E"/>
    <w:pPr>
      <w:spacing w:before="80" w:after="80" w:line="240" w:lineRule="auto"/>
    </w:pPr>
    <w:rPr>
      <w:rFonts w:ascii="Montserrat Light" w:hAnsi="Montserrat Light"/>
      <w:color w:val="D1111C" w:themeColor="accent5" w:themeShade="BF"/>
    </w:r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insideV w:val="single" w:sz="4" w:space="0" w:color="F58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A" w:themeFill="accent5" w:themeFillTint="33"/>
      </w:tcPr>
    </w:tblStylePr>
    <w:tblStylePr w:type="band1Horz">
      <w:tblPr/>
      <w:tcPr>
        <w:shd w:val="clear" w:color="auto" w:fill="FBD8DA" w:themeFill="accent5" w:themeFillTint="33"/>
      </w:tcPr>
    </w:tblStylePr>
    <w:tblStylePr w:type="neCell">
      <w:tblPr/>
      <w:tcPr>
        <w:tcBorders>
          <w:bottom w:val="single" w:sz="4" w:space="0" w:color="F58C91" w:themeColor="accent5" w:themeTint="99"/>
        </w:tcBorders>
      </w:tcPr>
    </w:tblStylePr>
    <w:tblStylePr w:type="nwCell">
      <w:tblPr/>
      <w:tcPr>
        <w:tcBorders>
          <w:bottom w:val="single" w:sz="4" w:space="0" w:color="F58C91" w:themeColor="accent5" w:themeTint="99"/>
        </w:tcBorders>
      </w:tcPr>
    </w:tblStylePr>
    <w:tblStylePr w:type="seCell">
      <w:tblPr/>
      <w:tcPr>
        <w:tcBorders>
          <w:top w:val="single" w:sz="4" w:space="0" w:color="F58C91" w:themeColor="accent5" w:themeTint="99"/>
        </w:tcBorders>
      </w:tcPr>
    </w:tblStylePr>
    <w:tblStylePr w:type="swCell">
      <w:tblPr/>
      <w:tcPr>
        <w:tcBorders>
          <w:top w:val="single" w:sz="4" w:space="0" w:color="F58C91" w:themeColor="accent5" w:themeTint="99"/>
        </w:tcBorders>
      </w:tcPr>
    </w:tblStylePr>
  </w:style>
  <w:style w:type="table" w:styleId="GridTable7Colorful-Accent6">
    <w:name w:val="Grid Table 7 Colorful Accent 6"/>
    <w:basedOn w:val="TableNormal"/>
    <w:uiPriority w:val="52"/>
    <w:rsid w:val="00050E6E"/>
    <w:pPr>
      <w:spacing w:before="80" w:after="80" w:line="240" w:lineRule="auto"/>
    </w:pPr>
    <w:rPr>
      <w:rFonts w:ascii="Montserrat Light" w:hAnsi="Montserrat Light"/>
      <w:color w:val="8B6A22" w:themeColor="accent6" w:themeShade="BF"/>
    </w:r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insideV w:val="single" w:sz="4" w:space="0" w:color="DEBE7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9D2" w:themeFill="accent6" w:themeFillTint="33"/>
      </w:tcPr>
    </w:tblStylePr>
    <w:tblStylePr w:type="band1Horz">
      <w:tblPr/>
      <w:tcPr>
        <w:shd w:val="clear" w:color="auto" w:fill="F4E9D2" w:themeFill="accent6" w:themeFillTint="33"/>
      </w:tcPr>
    </w:tblStylePr>
    <w:tblStylePr w:type="neCell">
      <w:tblPr/>
      <w:tcPr>
        <w:tcBorders>
          <w:bottom w:val="single" w:sz="4" w:space="0" w:color="DEBE79" w:themeColor="accent6" w:themeTint="99"/>
        </w:tcBorders>
      </w:tcPr>
    </w:tblStylePr>
    <w:tblStylePr w:type="nwCell">
      <w:tblPr/>
      <w:tcPr>
        <w:tcBorders>
          <w:bottom w:val="single" w:sz="4" w:space="0" w:color="DEBE79" w:themeColor="accent6" w:themeTint="99"/>
        </w:tcBorders>
      </w:tcPr>
    </w:tblStylePr>
    <w:tblStylePr w:type="seCell">
      <w:tblPr/>
      <w:tcPr>
        <w:tcBorders>
          <w:top w:val="single" w:sz="4" w:space="0" w:color="DEBE79" w:themeColor="accent6" w:themeTint="99"/>
        </w:tcBorders>
      </w:tcPr>
    </w:tblStylePr>
    <w:tblStylePr w:type="swCell">
      <w:tblPr/>
      <w:tcPr>
        <w:tcBorders>
          <w:top w:val="single" w:sz="4" w:space="0" w:color="DEBE79" w:themeColor="accent6" w:themeTint="99"/>
        </w:tcBorders>
      </w:tcPr>
    </w:tblStylePr>
  </w:style>
  <w:style w:type="character" w:styleId="HTMLCode">
    <w:name w:val="HTML Code"/>
    <w:basedOn w:val="DefaultParagraphFont"/>
    <w:uiPriority w:val="99"/>
    <w:semiHidden/>
    <w:rsid w:val="00050E6E"/>
    <w:rPr>
      <w:rFonts w:ascii="Montserrat Light" w:hAnsi="Montserrat Light"/>
      <w:sz w:val="20"/>
      <w:szCs w:val="20"/>
    </w:rPr>
  </w:style>
  <w:style w:type="character" w:styleId="HTMLKeyboard">
    <w:name w:val="HTML Keyboard"/>
    <w:basedOn w:val="DefaultParagraphFont"/>
    <w:uiPriority w:val="99"/>
    <w:semiHidden/>
    <w:rsid w:val="00050E6E"/>
    <w:rPr>
      <w:rFonts w:ascii="Montserrat Light" w:hAnsi="Montserrat Light"/>
      <w:sz w:val="20"/>
      <w:szCs w:val="20"/>
    </w:rPr>
  </w:style>
  <w:style w:type="paragraph" w:styleId="HTMLPreformatted">
    <w:name w:val="HTML Preformatted"/>
    <w:basedOn w:val="Normal"/>
    <w:link w:val="HTMLPreformattedChar"/>
    <w:uiPriority w:val="99"/>
    <w:semiHidden/>
    <w:rsid w:val="00050E6E"/>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050E6E"/>
    <w:rPr>
      <w:rFonts w:ascii="Montserrat Light" w:hAnsi="Montserrat Light"/>
      <w:sz w:val="20"/>
      <w:szCs w:val="20"/>
    </w:rPr>
  </w:style>
  <w:style w:type="character" w:styleId="HTMLSample">
    <w:name w:val="HTML Sample"/>
    <w:basedOn w:val="DefaultParagraphFont"/>
    <w:uiPriority w:val="99"/>
    <w:semiHidden/>
    <w:rsid w:val="00050E6E"/>
    <w:rPr>
      <w:rFonts w:ascii="Montserrat Light" w:hAnsi="Montserrat Light"/>
      <w:sz w:val="24"/>
      <w:szCs w:val="24"/>
    </w:rPr>
  </w:style>
  <w:style w:type="character" w:styleId="HTMLTypewriter">
    <w:name w:val="HTML Typewriter"/>
    <w:basedOn w:val="DefaultParagraphFont"/>
    <w:uiPriority w:val="99"/>
    <w:semiHidden/>
    <w:rsid w:val="00050E6E"/>
    <w:rPr>
      <w:rFonts w:ascii="Montserrat Light" w:hAnsi="Montserrat Light"/>
      <w:sz w:val="20"/>
      <w:szCs w:val="20"/>
    </w:rPr>
  </w:style>
  <w:style w:type="character" w:customStyle="1" w:styleId="Itallic-text">
    <w:name w:val="Itallic-text"/>
    <w:uiPriority w:val="1"/>
    <w:semiHidden/>
    <w:rsid w:val="00050E6E"/>
    <w:rPr>
      <w:rFonts w:ascii="Montserrat Light" w:hAnsi="Montserrat Light"/>
      <w:b w:val="0"/>
      <w:i/>
      <w:sz w:val="24"/>
    </w:rPr>
  </w:style>
  <w:style w:type="character" w:styleId="LineNumber">
    <w:name w:val="line number"/>
    <w:basedOn w:val="DefaultParagraphFont"/>
    <w:uiPriority w:val="99"/>
    <w:semiHidden/>
    <w:unhideWhenUsed/>
    <w:rsid w:val="00050E6E"/>
  </w:style>
  <w:style w:type="paragraph" w:styleId="List2">
    <w:name w:val="List 2"/>
    <w:basedOn w:val="Normal"/>
    <w:autoRedefine/>
    <w:uiPriority w:val="99"/>
    <w:semiHidden/>
    <w:unhideWhenUsed/>
    <w:rsid w:val="00050E6E"/>
    <w:pPr>
      <w:numPr>
        <w:numId w:val="26"/>
      </w:numPr>
      <w:contextualSpacing/>
    </w:pPr>
  </w:style>
  <w:style w:type="paragraph" w:styleId="List3">
    <w:name w:val="List 3"/>
    <w:basedOn w:val="Normal"/>
    <w:autoRedefine/>
    <w:uiPriority w:val="99"/>
    <w:semiHidden/>
    <w:unhideWhenUsed/>
    <w:rsid w:val="00050E6E"/>
    <w:pPr>
      <w:numPr>
        <w:numId w:val="27"/>
      </w:numPr>
      <w:contextualSpacing/>
    </w:pPr>
  </w:style>
  <w:style w:type="paragraph" w:styleId="List4">
    <w:name w:val="List 4"/>
    <w:basedOn w:val="Normal"/>
    <w:autoRedefine/>
    <w:uiPriority w:val="99"/>
    <w:semiHidden/>
    <w:unhideWhenUsed/>
    <w:rsid w:val="00050E6E"/>
    <w:pPr>
      <w:numPr>
        <w:numId w:val="28"/>
      </w:numPr>
      <w:contextualSpacing/>
    </w:pPr>
  </w:style>
  <w:style w:type="paragraph" w:styleId="List5">
    <w:name w:val="List 5"/>
    <w:basedOn w:val="Normal"/>
    <w:autoRedefine/>
    <w:uiPriority w:val="99"/>
    <w:semiHidden/>
    <w:unhideWhenUsed/>
    <w:rsid w:val="00050E6E"/>
    <w:pPr>
      <w:numPr>
        <w:numId w:val="29"/>
      </w:numPr>
      <w:contextualSpacing/>
    </w:pPr>
  </w:style>
  <w:style w:type="paragraph" w:styleId="ListBullet">
    <w:name w:val="List Bullet"/>
    <w:basedOn w:val="Normal"/>
    <w:autoRedefine/>
    <w:uiPriority w:val="99"/>
    <w:semiHidden/>
    <w:unhideWhenUsed/>
    <w:rsid w:val="00050E6E"/>
    <w:pPr>
      <w:numPr>
        <w:numId w:val="30"/>
      </w:numPr>
      <w:contextualSpacing/>
    </w:pPr>
  </w:style>
  <w:style w:type="paragraph" w:styleId="ListBullet2">
    <w:name w:val="List Bullet 2"/>
    <w:basedOn w:val="Normal"/>
    <w:autoRedefine/>
    <w:uiPriority w:val="99"/>
    <w:semiHidden/>
    <w:unhideWhenUsed/>
    <w:rsid w:val="00050E6E"/>
    <w:pPr>
      <w:numPr>
        <w:numId w:val="31"/>
      </w:numPr>
      <w:contextualSpacing/>
    </w:pPr>
  </w:style>
  <w:style w:type="paragraph" w:styleId="ListBullet3">
    <w:name w:val="List Bullet 3"/>
    <w:basedOn w:val="Normal"/>
    <w:autoRedefine/>
    <w:uiPriority w:val="99"/>
    <w:semiHidden/>
    <w:unhideWhenUsed/>
    <w:rsid w:val="00050E6E"/>
    <w:pPr>
      <w:numPr>
        <w:numId w:val="32"/>
      </w:numPr>
      <w:contextualSpacing/>
    </w:pPr>
  </w:style>
  <w:style w:type="paragraph" w:styleId="ListBullet4">
    <w:name w:val="List Bullet 4"/>
    <w:basedOn w:val="Normal"/>
    <w:autoRedefine/>
    <w:uiPriority w:val="99"/>
    <w:semiHidden/>
    <w:unhideWhenUsed/>
    <w:rsid w:val="00050E6E"/>
    <w:pPr>
      <w:numPr>
        <w:numId w:val="33"/>
      </w:numPr>
      <w:contextualSpacing/>
    </w:pPr>
  </w:style>
  <w:style w:type="paragraph" w:styleId="ListBullet5">
    <w:name w:val="List Bullet 5"/>
    <w:basedOn w:val="Normal"/>
    <w:autoRedefine/>
    <w:uiPriority w:val="99"/>
    <w:semiHidden/>
    <w:unhideWhenUsed/>
    <w:rsid w:val="00050E6E"/>
    <w:pPr>
      <w:numPr>
        <w:numId w:val="34"/>
      </w:numPr>
      <w:contextualSpacing/>
    </w:pPr>
  </w:style>
  <w:style w:type="paragraph" w:styleId="ListContinue">
    <w:name w:val="List Continue"/>
    <w:basedOn w:val="Normal"/>
    <w:autoRedefine/>
    <w:uiPriority w:val="99"/>
    <w:semiHidden/>
    <w:unhideWhenUsed/>
    <w:rsid w:val="00050E6E"/>
    <w:pPr>
      <w:numPr>
        <w:numId w:val="35"/>
      </w:numPr>
      <w:spacing w:after="120"/>
      <w:contextualSpacing/>
    </w:pPr>
  </w:style>
  <w:style w:type="paragraph" w:styleId="ListContinue2">
    <w:name w:val="List Continue 2"/>
    <w:basedOn w:val="Normal"/>
    <w:autoRedefine/>
    <w:uiPriority w:val="99"/>
    <w:semiHidden/>
    <w:unhideWhenUsed/>
    <w:rsid w:val="00050E6E"/>
    <w:pPr>
      <w:numPr>
        <w:numId w:val="36"/>
      </w:numPr>
      <w:spacing w:after="120"/>
      <w:contextualSpacing/>
    </w:pPr>
  </w:style>
  <w:style w:type="paragraph" w:styleId="ListContinue3">
    <w:name w:val="List Continue 3"/>
    <w:basedOn w:val="Normal"/>
    <w:autoRedefine/>
    <w:uiPriority w:val="99"/>
    <w:semiHidden/>
    <w:unhideWhenUsed/>
    <w:rsid w:val="00050E6E"/>
    <w:pPr>
      <w:numPr>
        <w:numId w:val="37"/>
      </w:numPr>
      <w:spacing w:after="120"/>
      <w:contextualSpacing/>
    </w:pPr>
  </w:style>
  <w:style w:type="paragraph" w:styleId="ListContinue4">
    <w:name w:val="List Continue 4"/>
    <w:basedOn w:val="Normal"/>
    <w:autoRedefine/>
    <w:uiPriority w:val="99"/>
    <w:semiHidden/>
    <w:unhideWhenUsed/>
    <w:rsid w:val="00050E6E"/>
    <w:pPr>
      <w:numPr>
        <w:numId w:val="38"/>
      </w:numPr>
      <w:spacing w:after="120"/>
      <w:contextualSpacing/>
    </w:pPr>
  </w:style>
  <w:style w:type="paragraph" w:styleId="ListContinue5">
    <w:name w:val="List Continue 5"/>
    <w:basedOn w:val="Normal"/>
    <w:autoRedefine/>
    <w:uiPriority w:val="99"/>
    <w:semiHidden/>
    <w:unhideWhenUsed/>
    <w:rsid w:val="00050E6E"/>
    <w:pPr>
      <w:numPr>
        <w:numId w:val="39"/>
      </w:numPr>
      <w:spacing w:after="120"/>
      <w:contextualSpacing/>
    </w:pPr>
  </w:style>
  <w:style w:type="table" w:styleId="ListTable1Light">
    <w:name w:val="List Table 1 Light"/>
    <w:basedOn w:val="TableNormal"/>
    <w:uiPriority w:val="46"/>
    <w:rsid w:val="00050E6E"/>
    <w:pPr>
      <w:spacing w:before="80" w:after="80" w:line="240" w:lineRule="auto"/>
    </w:pPr>
    <w:rPr>
      <w:rFonts w:ascii="Montserrat Light" w:hAnsi="Montserrat Light"/>
      <w:color w:val="282829"/>
    </w:rPr>
    <w:tblPr>
      <w:tblStyleRowBandSize w:val="1"/>
      <w:tblStyleColBandSize w:val="1"/>
    </w:tblPr>
    <w:tblStylePr w:type="firstRow">
      <w:rPr>
        <w:b/>
        <w:bCs/>
      </w:rPr>
      <w:tblPr/>
      <w:tcPr>
        <w:tcBorders>
          <w:bottom w:val="single" w:sz="4" w:space="0" w:color="7C7C7F" w:themeColor="text1" w:themeTint="99"/>
        </w:tcBorders>
      </w:tcPr>
    </w:tblStylePr>
    <w:tblStylePr w:type="lastRow">
      <w:rPr>
        <w:b/>
        <w:bCs/>
      </w:rPr>
      <w:tblPr/>
      <w:tcPr>
        <w:tcBorders>
          <w:top w:val="single" w:sz="4" w:space="0" w:color="7C7C7F" w:themeColor="text1" w:themeTint="99"/>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1Light-Accent1">
    <w:name w:val="List Table 1 Light Accent 1"/>
    <w:basedOn w:val="TableNormal"/>
    <w:uiPriority w:val="46"/>
    <w:rsid w:val="00050E6E"/>
    <w:pPr>
      <w:spacing w:before="80" w:after="80" w:line="240" w:lineRule="auto"/>
    </w:pPr>
    <w:rPr>
      <w:rFonts w:ascii="Montserrat Light" w:hAnsi="Montserrat Light"/>
      <w:color w:val="282829"/>
    </w:rPr>
    <w:tblPr>
      <w:tblStyleRowBandSize w:val="1"/>
      <w:tblStyleColBandSize w:val="1"/>
    </w:tblPr>
    <w:tblStylePr w:type="firstRow">
      <w:rPr>
        <w:b/>
        <w:bCs/>
      </w:rPr>
      <w:tblPr/>
      <w:tcPr>
        <w:tcBorders>
          <w:bottom w:val="single" w:sz="4" w:space="0" w:color="EC66B3" w:themeColor="accent1" w:themeTint="99"/>
        </w:tcBorders>
      </w:tcPr>
    </w:tblStylePr>
    <w:tblStylePr w:type="lastRow">
      <w:rPr>
        <w:b/>
        <w:bCs/>
      </w:rPr>
      <w:tblPr/>
      <w:tcPr>
        <w:tcBorders>
          <w:top w:val="single" w:sz="4" w:space="0" w:color="EC66B3" w:themeColor="accent1" w:themeTint="99"/>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1Light-Accent2">
    <w:name w:val="List Table 1 Light Accent 2"/>
    <w:basedOn w:val="TableNormal"/>
    <w:uiPriority w:val="46"/>
    <w:rsid w:val="00050E6E"/>
    <w:pPr>
      <w:spacing w:before="80" w:after="80" w:line="240" w:lineRule="auto"/>
    </w:pPr>
    <w:rPr>
      <w:rFonts w:ascii="Montserrat Light" w:hAnsi="Montserrat Light"/>
      <w:color w:val="282829"/>
    </w:rPr>
    <w:tblPr>
      <w:tblStyleRowBandSize w:val="1"/>
      <w:tblStyleColBandSize w:val="1"/>
    </w:tblPr>
    <w:tblStylePr w:type="firstRow">
      <w:rPr>
        <w:b/>
        <w:bCs/>
      </w:rPr>
      <w:tblPr/>
      <w:tcPr>
        <w:tcBorders>
          <w:bottom w:val="single" w:sz="4" w:space="0" w:color="91CF8C" w:themeColor="accent2" w:themeTint="99"/>
        </w:tcBorders>
      </w:tcPr>
    </w:tblStylePr>
    <w:tblStylePr w:type="lastRow">
      <w:rPr>
        <w:b/>
        <w:bCs/>
      </w:rPr>
      <w:tblPr/>
      <w:tcPr>
        <w:tcBorders>
          <w:top w:val="single" w:sz="4" w:space="0" w:color="91CF8C" w:themeColor="accent2" w:themeTint="99"/>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1Light-Accent3">
    <w:name w:val="List Table 1 Light Accent 3"/>
    <w:basedOn w:val="TableNormal"/>
    <w:uiPriority w:val="46"/>
    <w:rsid w:val="00050E6E"/>
    <w:pPr>
      <w:spacing w:before="80" w:after="80" w:line="240" w:lineRule="auto"/>
    </w:pPr>
    <w:rPr>
      <w:rFonts w:ascii="Montserrat Light" w:hAnsi="Montserrat Light"/>
      <w:color w:val="282829"/>
    </w:rPr>
    <w:tblPr>
      <w:tblStyleRowBandSize w:val="1"/>
      <w:tblStyleColBandSize w:val="1"/>
    </w:tblPr>
    <w:tblStylePr w:type="firstRow">
      <w:rPr>
        <w:b/>
        <w:bCs/>
      </w:rPr>
      <w:tblPr/>
      <w:tcPr>
        <w:tcBorders>
          <w:bottom w:val="single" w:sz="4" w:space="0" w:color="F0AE78" w:themeColor="accent3" w:themeTint="99"/>
        </w:tcBorders>
      </w:tcPr>
    </w:tblStylePr>
    <w:tblStylePr w:type="lastRow">
      <w:rPr>
        <w:b/>
        <w:bCs/>
      </w:rPr>
      <w:tblPr/>
      <w:tcPr>
        <w:tcBorders>
          <w:top w:val="single" w:sz="4" w:space="0" w:color="F0AE78" w:themeColor="accent3" w:themeTint="99"/>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1Light-Accent4">
    <w:name w:val="List Table 1 Light Accent 4"/>
    <w:basedOn w:val="TableNormal"/>
    <w:uiPriority w:val="46"/>
    <w:rsid w:val="00050E6E"/>
    <w:pPr>
      <w:spacing w:before="80" w:after="80" w:line="240" w:lineRule="auto"/>
    </w:pPr>
    <w:rPr>
      <w:rFonts w:ascii="Montserrat Light" w:hAnsi="Montserrat Light"/>
      <w:color w:val="282829"/>
    </w:rPr>
    <w:tblPr>
      <w:tblStyleRowBandSize w:val="1"/>
      <w:tblStyleColBandSize w:val="1"/>
    </w:tblPr>
    <w:tblStylePr w:type="firstRow">
      <w:rPr>
        <w:b/>
        <w:bCs/>
      </w:rPr>
      <w:tblPr/>
      <w:tcPr>
        <w:tcBorders>
          <w:bottom w:val="single" w:sz="4" w:space="0" w:color="7BCFD7" w:themeColor="accent4" w:themeTint="99"/>
        </w:tcBorders>
      </w:tcPr>
    </w:tblStylePr>
    <w:tblStylePr w:type="lastRow">
      <w:rPr>
        <w:b/>
        <w:bCs/>
      </w:rPr>
      <w:tblPr/>
      <w:tcPr>
        <w:tcBorders>
          <w:top w:val="single" w:sz="4" w:space="0" w:color="7BCFD7" w:themeColor="accent4" w:themeTint="99"/>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1Light-Accent5">
    <w:name w:val="List Table 1 Light Accent 5"/>
    <w:basedOn w:val="TableNormal"/>
    <w:uiPriority w:val="46"/>
    <w:rsid w:val="00050E6E"/>
    <w:pPr>
      <w:spacing w:before="80" w:after="80" w:line="240" w:lineRule="auto"/>
    </w:pPr>
    <w:rPr>
      <w:rFonts w:ascii="Montserrat Light" w:hAnsi="Montserrat Light"/>
      <w:color w:val="282829"/>
    </w:rPr>
    <w:tblPr>
      <w:tblStyleRowBandSize w:val="1"/>
      <w:tblStyleColBandSize w:val="1"/>
    </w:tblPr>
    <w:tblStylePr w:type="firstRow">
      <w:rPr>
        <w:b/>
        <w:bCs/>
      </w:rPr>
      <w:tblPr/>
      <w:tcPr>
        <w:tcBorders>
          <w:bottom w:val="single" w:sz="4" w:space="0" w:color="F58C91" w:themeColor="accent5" w:themeTint="99"/>
        </w:tcBorders>
      </w:tcPr>
    </w:tblStylePr>
    <w:tblStylePr w:type="lastRow">
      <w:rPr>
        <w:b/>
        <w:bCs/>
      </w:rPr>
      <w:tblPr/>
      <w:tcPr>
        <w:tcBorders>
          <w:top w:val="single" w:sz="4" w:space="0" w:color="F58C91" w:themeColor="accent5" w:themeTint="99"/>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1Light-Accent6">
    <w:name w:val="List Table 1 Light Accent 6"/>
    <w:basedOn w:val="TableNormal"/>
    <w:uiPriority w:val="46"/>
    <w:rsid w:val="00050E6E"/>
    <w:pPr>
      <w:spacing w:before="80" w:after="80" w:line="240" w:lineRule="auto"/>
    </w:pPr>
    <w:rPr>
      <w:rFonts w:ascii="Montserrat Light" w:hAnsi="Montserrat Light"/>
      <w:color w:val="282829"/>
    </w:rPr>
    <w:tblPr>
      <w:tblStyleRowBandSize w:val="1"/>
      <w:tblStyleColBandSize w:val="1"/>
    </w:tblPr>
    <w:tblStylePr w:type="firstRow">
      <w:rPr>
        <w:b/>
        <w:bCs/>
      </w:rPr>
      <w:tblPr/>
      <w:tcPr>
        <w:tcBorders>
          <w:bottom w:val="single" w:sz="4" w:space="0" w:color="DEBE79" w:themeColor="accent6" w:themeTint="99"/>
        </w:tcBorders>
      </w:tcPr>
    </w:tblStylePr>
    <w:tblStylePr w:type="lastRow">
      <w:rPr>
        <w:b/>
        <w:bCs/>
      </w:rPr>
      <w:tblPr/>
      <w:tcPr>
        <w:tcBorders>
          <w:top w:val="single" w:sz="4" w:space="0" w:color="DEBE79" w:themeColor="accent6" w:themeTint="99"/>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2">
    <w:name w:val="List Table 2"/>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4" w:space="0" w:color="7C7C7F" w:themeColor="text1" w:themeTint="99"/>
        <w:bottom w:val="single" w:sz="4" w:space="0" w:color="7C7C7F" w:themeColor="text1" w:themeTint="99"/>
        <w:insideH w:val="single" w:sz="4" w:space="0" w:color="7C7C7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2-Accent1">
    <w:name w:val="List Table 2 Accent 1"/>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4" w:space="0" w:color="EC66B3" w:themeColor="accent1" w:themeTint="99"/>
        <w:bottom w:val="single" w:sz="4" w:space="0" w:color="EC66B3" w:themeColor="accent1" w:themeTint="99"/>
        <w:insideH w:val="single" w:sz="4" w:space="0" w:color="EC66B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2-Accent2">
    <w:name w:val="List Table 2 Accent 2"/>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4" w:space="0" w:color="91CF8C" w:themeColor="accent2" w:themeTint="99"/>
        <w:bottom w:val="single" w:sz="4" w:space="0" w:color="91CF8C" w:themeColor="accent2" w:themeTint="99"/>
        <w:insideH w:val="single" w:sz="4" w:space="0" w:color="91CF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2-Accent3">
    <w:name w:val="List Table 2 Accent 3"/>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4" w:space="0" w:color="F0AE78" w:themeColor="accent3" w:themeTint="99"/>
        <w:bottom w:val="single" w:sz="4" w:space="0" w:color="F0AE78" w:themeColor="accent3" w:themeTint="99"/>
        <w:insideH w:val="single" w:sz="4" w:space="0" w:color="F0A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2-Accent4">
    <w:name w:val="List Table 2 Accent 4"/>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4" w:space="0" w:color="7BCFD7" w:themeColor="accent4" w:themeTint="99"/>
        <w:bottom w:val="single" w:sz="4" w:space="0" w:color="7BCFD7" w:themeColor="accent4" w:themeTint="99"/>
        <w:insideH w:val="single" w:sz="4" w:space="0" w:color="7BCFD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2-Accent5">
    <w:name w:val="List Table 2 Accent 5"/>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4" w:space="0" w:color="F58C91" w:themeColor="accent5" w:themeTint="99"/>
        <w:bottom w:val="single" w:sz="4" w:space="0" w:color="F58C91" w:themeColor="accent5" w:themeTint="99"/>
        <w:insideH w:val="single" w:sz="4" w:space="0" w:color="F58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2-Accent6">
    <w:name w:val="List Table 2 Accent 6"/>
    <w:basedOn w:val="TableNormal"/>
    <w:uiPriority w:val="47"/>
    <w:rsid w:val="00050E6E"/>
    <w:pPr>
      <w:spacing w:before="80" w:after="80" w:line="240" w:lineRule="auto"/>
    </w:pPr>
    <w:rPr>
      <w:rFonts w:ascii="Montserrat Light" w:hAnsi="Montserrat Light"/>
      <w:color w:val="282829"/>
    </w:rPr>
    <w:tblPr>
      <w:tblStyleRowBandSize w:val="1"/>
      <w:tblStyleColBandSize w:val="1"/>
      <w:tblBorders>
        <w:top w:val="single" w:sz="4" w:space="0" w:color="DEBE79" w:themeColor="accent6" w:themeTint="99"/>
        <w:bottom w:val="single" w:sz="4" w:space="0" w:color="DEBE79" w:themeColor="accent6" w:themeTint="99"/>
        <w:insideH w:val="single" w:sz="4" w:space="0" w:color="DEBE7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3">
    <w:name w:val="List Table 3"/>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282829" w:themeColor="text1"/>
        <w:left w:val="single" w:sz="4" w:space="0" w:color="282829" w:themeColor="text1"/>
        <w:bottom w:val="single" w:sz="4" w:space="0" w:color="282829" w:themeColor="text1"/>
        <w:right w:val="single" w:sz="4" w:space="0" w:color="282829" w:themeColor="text1"/>
      </w:tblBorders>
    </w:tblPr>
    <w:tblStylePr w:type="firstRow">
      <w:rPr>
        <w:b/>
        <w:bCs/>
        <w:color w:val="FFFFFF" w:themeColor="background1"/>
      </w:rPr>
      <w:tblPr/>
      <w:tcPr>
        <w:shd w:val="clear" w:color="auto" w:fill="282829" w:themeFill="text1"/>
      </w:tcPr>
    </w:tblStylePr>
    <w:tblStylePr w:type="lastRow">
      <w:rPr>
        <w:b/>
        <w:bCs/>
      </w:rPr>
      <w:tblPr/>
      <w:tcPr>
        <w:tcBorders>
          <w:top w:val="double" w:sz="4" w:space="0" w:color="2828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2829" w:themeColor="text1"/>
          <w:right w:val="single" w:sz="4" w:space="0" w:color="282829" w:themeColor="text1"/>
        </w:tcBorders>
      </w:tcPr>
    </w:tblStylePr>
    <w:tblStylePr w:type="band1Horz">
      <w:tblPr/>
      <w:tcPr>
        <w:tcBorders>
          <w:top w:val="single" w:sz="4" w:space="0" w:color="282829" w:themeColor="text1"/>
          <w:bottom w:val="single" w:sz="4" w:space="0" w:color="2828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2829" w:themeColor="text1"/>
          <w:left w:val="nil"/>
        </w:tcBorders>
      </w:tcPr>
    </w:tblStylePr>
    <w:tblStylePr w:type="swCell">
      <w:tblPr/>
      <w:tcPr>
        <w:tcBorders>
          <w:top w:val="double" w:sz="4" w:space="0" w:color="282829" w:themeColor="text1"/>
          <w:right w:val="nil"/>
        </w:tcBorders>
      </w:tcPr>
    </w:tblStylePr>
  </w:style>
  <w:style w:type="table" w:styleId="ListTable3-Accent1">
    <w:name w:val="List Table 3 Accent 1"/>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C9187E" w:themeColor="accent1"/>
        <w:left w:val="single" w:sz="4" w:space="0" w:color="C9187E" w:themeColor="accent1"/>
        <w:bottom w:val="single" w:sz="4" w:space="0" w:color="C9187E" w:themeColor="accent1"/>
        <w:right w:val="single" w:sz="4" w:space="0" w:color="C9187E" w:themeColor="accent1"/>
      </w:tblBorders>
    </w:tblPr>
    <w:tblStylePr w:type="firstRow">
      <w:rPr>
        <w:b/>
        <w:bCs/>
        <w:color w:val="FFFFFF" w:themeColor="background1"/>
      </w:rPr>
      <w:tblPr/>
      <w:tcPr>
        <w:shd w:val="clear" w:color="auto" w:fill="C9187E" w:themeFill="accent1"/>
      </w:tcPr>
    </w:tblStylePr>
    <w:tblStylePr w:type="lastRow">
      <w:rPr>
        <w:b/>
        <w:bCs/>
      </w:rPr>
      <w:tblPr/>
      <w:tcPr>
        <w:tcBorders>
          <w:top w:val="double" w:sz="4" w:space="0" w:color="C918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187E" w:themeColor="accent1"/>
          <w:right w:val="single" w:sz="4" w:space="0" w:color="C9187E" w:themeColor="accent1"/>
        </w:tcBorders>
      </w:tcPr>
    </w:tblStylePr>
    <w:tblStylePr w:type="band1Horz">
      <w:tblPr/>
      <w:tcPr>
        <w:tcBorders>
          <w:top w:val="single" w:sz="4" w:space="0" w:color="C9187E" w:themeColor="accent1"/>
          <w:bottom w:val="single" w:sz="4" w:space="0" w:color="C918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187E" w:themeColor="accent1"/>
          <w:left w:val="nil"/>
        </w:tcBorders>
      </w:tcPr>
    </w:tblStylePr>
    <w:tblStylePr w:type="swCell">
      <w:tblPr/>
      <w:tcPr>
        <w:tcBorders>
          <w:top w:val="double" w:sz="4" w:space="0" w:color="C9187E" w:themeColor="accent1"/>
          <w:right w:val="nil"/>
        </w:tcBorders>
      </w:tcPr>
    </w:tblStylePr>
  </w:style>
  <w:style w:type="table" w:styleId="ListTable3-Accent2">
    <w:name w:val="List Table 3 Accent 2"/>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4EA947" w:themeColor="accent2"/>
        <w:left w:val="single" w:sz="4" w:space="0" w:color="4EA947" w:themeColor="accent2"/>
        <w:bottom w:val="single" w:sz="4" w:space="0" w:color="4EA947" w:themeColor="accent2"/>
        <w:right w:val="single" w:sz="4" w:space="0" w:color="4EA947" w:themeColor="accent2"/>
      </w:tblBorders>
    </w:tblPr>
    <w:tblStylePr w:type="firstRow">
      <w:rPr>
        <w:b/>
        <w:bCs/>
        <w:color w:val="FFFFFF" w:themeColor="background1"/>
      </w:rPr>
      <w:tblPr/>
      <w:tcPr>
        <w:shd w:val="clear" w:color="auto" w:fill="4EA947" w:themeFill="accent2"/>
      </w:tcPr>
    </w:tblStylePr>
    <w:tblStylePr w:type="lastRow">
      <w:rPr>
        <w:b/>
        <w:bCs/>
      </w:rPr>
      <w:tblPr/>
      <w:tcPr>
        <w:tcBorders>
          <w:top w:val="double" w:sz="4" w:space="0" w:color="4EA9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947" w:themeColor="accent2"/>
          <w:right w:val="single" w:sz="4" w:space="0" w:color="4EA947" w:themeColor="accent2"/>
        </w:tcBorders>
      </w:tcPr>
    </w:tblStylePr>
    <w:tblStylePr w:type="band1Horz">
      <w:tblPr/>
      <w:tcPr>
        <w:tcBorders>
          <w:top w:val="single" w:sz="4" w:space="0" w:color="4EA947" w:themeColor="accent2"/>
          <w:bottom w:val="single" w:sz="4" w:space="0" w:color="4EA9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947" w:themeColor="accent2"/>
          <w:left w:val="nil"/>
        </w:tcBorders>
      </w:tcPr>
    </w:tblStylePr>
    <w:tblStylePr w:type="swCell">
      <w:tblPr/>
      <w:tcPr>
        <w:tcBorders>
          <w:top w:val="double" w:sz="4" w:space="0" w:color="4EA947" w:themeColor="accent2"/>
          <w:right w:val="nil"/>
        </w:tcBorders>
      </w:tcPr>
    </w:tblStylePr>
  </w:style>
  <w:style w:type="table" w:styleId="ListTable3-Accent3">
    <w:name w:val="List Table 3 Accent 3"/>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E6791E" w:themeColor="accent3"/>
        <w:left w:val="single" w:sz="4" w:space="0" w:color="E6791E" w:themeColor="accent3"/>
        <w:bottom w:val="single" w:sz="4" w:space="0" w:color="E6791E" w:themeColor="accent3"/>
        <w:right w:val="single" w:sz="4" w:space="0" w:color="E6791E" w:themeColor="accent3"/>
      </w:tblBorders>
    </w:tblPr>
    <w:tblStylePr w:type="firstRow">
      <w:rPr>
        <w:b/>
        <w:bCs/>
        <w:color w:val="FFFFFF" w:themeColor="background1"/>
      </w:rPr>
      <w:tblPr/>
      <w:tcPr>
        <w:shd w:val="clear" w:color="auto" w:fill="E6791E" w:themeFill="accent3"/>
      </w:tcPr>
    </w:tblStylePr>
    <w:tblStylePr w:type="lastRow">
      <w:rPr>
        <w:b/>
        <w:bCs/>
      </w:rPr>
      <w:tblPr/>
      <w:tcPr>
        <w:tcBorders>
          <w:top w:val="double" w:sz="4" w:space="0" w:color="E679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791E" w:themeColor="accent3"/>
          <w:right w:val="single" w:sz="4" w:space="0" w:color="E6791E" w:themeColor="accent3"/>
        </w:tcBorders>
      </w:tcPr>
    </w:tblStylePr>
    <w:tblStylePr w:type="band1Horz">
      <w:tblPr/>
      <w:tcPr>
        <w:tcBorders>
          <w:top w:val="single" w:sz="4" w:space="0" w:color="E6791E" w:themeColor="accent3"/>
          <w:bottom w:val="single" w:sz="4" w:space="0" w:color="E679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791E" w:themeColor="accent3"/>
          <w:left w:val="nil"/>
        </w:tcBorders>
      </w:tcPr>
    </w:tblStylePr>
    <w:tblStylePr w:type="swCell">
      <w:tblPr/>
      <w:tcPr>
        <w:tcBorders>
          <w:top w:val="double" w:sz="4" w:space="0" w:color="E6791E" w:themeColor="accent3"/>
          <w:right w:val="nil"/>
        </w:tcBorders>
      </w:tcPr>
    </w:tblStylePr>
  </w:style>
  <w:style w:type="table" w:styleId="ListTable3-Accent4">
    <w:name w:val="List Table 3 Accent 4"/>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34A3AE" w:themeColor="accent4"/>
        <w:left w:val="single" w:sz="4" w:space="0" w:color="34A3AE" w:themeColor="accent4"/>
        <w:bottom w:val="single" w:sz="4" w:space="0" w:color="34A3AE" w:themeColor="accent4"/>
        <w:right w:val="single" w:sz="4" w:space="0" w:color="34A3AE" w:themeColor="accent4"/>
      </w:tblBorders>
    </w:tblPr>
    <w:tblStylePr w:type="firstRow">
      <w:rPr>
        <w:b/>
        <w:bCs/>
        <w:color w:val="FFFFFF" w:themeColor="background1"/>
      </w:rPr>
      <w:tblPr/>
      <w:tcPr>
        <w:shd w:val="clear" w:color="auto" w:fill="34A3AE" w:themeFill="accent4"/>
      </w:tcPr>
    </w:tblStylePr>
    <w:tblStylePr w:type="lastRow">
      <w:rPr>
        <w:b/>
        <w:bCs/>
      </w:rPr>
      <w:tblPr/>
      <w:tcPr>
        <w:tcBorders>
          <w:top w:val="double" w:sz="4" w:space="0" w:color="34A3A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3AE" w:themeColor="accent4"/>
          <w:right w:val="single" w:sz="4" w:space="0" w:color="34A3AE" w:themeColor="accent4"/>
        </w:tcBorders>
      </w:tcPr>
    </w:tblStylePr>
    <w:tblStylePr w:type="band1Horz">
      <w:tblPr/>
      <w:tcPr>
        <w:tcBorders>
          <w:top w:val="single" w:sz="4" w:space="0" w:color="34A3AE" w:themeColor="accent4"/>
          <w:bottom w:val="single" w:sz="4" w:space="0" w:color="34A3A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3AE" w:themeColor="accent4"/>
          <w:left w:val="nil"/>
        </w:tcBorders>
      </w:tcPr>
    </w:tblStylePr>
    <w:tblStylePr w:type="swCell">
      <w:tblPr/>
      <w:tcPr>
        <w:tcBorders>
          <w:top w:val="double" w:sz="4" w:space="0" w:color="34A3AE" w:themeColor="accent4"/>
          <w:right w:val="nil"/>
        </w:tcBorders>
      </w:tcPr>
    </w:tblStylePr>
  </w:style>
  <w:style w:type="table" w:styleId="ListTable3-Accent5">
    <w:name w:val="List Table 3 Accent 5"/>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EF404A" w:themeColor="accent5"/>
        <w:left w:val="single" w:sz="4" w:space="0" w:color="EF404A" w:themeColor="accent5"/>
        <w:bottom w:val="single" w:sz="4" w:space="0" w:color="EF404A" w:themeColor="accent5"/>
        <w:right w:val="single" w:sz="4" w:space="0" w:color="EF404A" w:themeColor="accent5"/>
      </w:tblBorders>
    </w:tblPr>
    <w:tblStylePr w:type="firstRow">
      <w:rPr>
        <w:b/>
        <w:bCs/>
        <w:color w:val="FFFFFF" w:themeColor="background1"/>
      </w:rPr>
      <w:tblPr/>
      <w:tcPr>
        <w:shd w:val="clear" w:color="auto" w:fill="EF404A" w:themeFill="accent5"/>
      </w:tcPr>
    </w:tblStylePr>
    <w:tblStylePr w:type="lastRow">
      <w:rPr>
        <w:b/>
        <w:bCs/>
      </w:rPr>
      <w:tblPr/>
      <w:tcPr>
        <w:tcBorders>
          <w:top w:val="double" w:sz="4" w:space="0" w:color="EF404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404A" w:themeColor="accent5"/>
          <w:right w:val="single" w:sz="4" w:space="0" w:color="EF404A" w:themeColor="accent5"/>
        </w:tcBorders>
      </w:tcPr>
    </w:tblStylePr>
    <w:tblStylePr w:type="band1Horz">
      <w:tblPr/>
      <w:tcPr>
        <w:tcBorders>
          <w:top w:val="single" w:sz="4" w:space="0" w:color="EF404A" w:themeColor="accent5"/>
          <w:bottom w:val="single" w:sz="4" w:space="0" w:color="EF404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404A" w:themeColor="accent5"/>
          <w:left w:val="nil"/>
        </w:tcBorders>
      </w:tcPr>
    </w:tblStylePr>
    <w:tblStylePr w:type="swCell">
      <w:tblPr/>
      <w:tcPr>
        <w:tcBorders>
          <w:top w:val="double" w:sz="4" w:space="0" w:color="EF404A" w:themeColor="accent5"/>
          <w:right w:val="nil"/>
        </w:tcBorders>
      </w:tcPr>
    </w:tblStylePr>
  </w:style>
  <w:style w:type="table" w:styleId="ListTable3-Accent6">
    <w:name w:val="List Table 3 Accent 6"/>
    <w:basedOn w:val="TableNormal"/>
    <w:uiPriority w:val="48"/>
    <w:rsid w:val="00050E6E"/>
    <w:pPr>
      <w:spacing w:before="80" w:after="80" w:line="240" w:lineRule="auto"/>
    </w:pPr>
    <w:rPr>
      <w:rFonts w:ascii="Montserrat Light" w:hAnsi="Montserrat Light"/>
      <w:color w:val="282829"/>
    </w:rPr>
    <w:tblPr>
      <w:tblStyleRowBandSize w:val="1"/>
      <w:tblStyleColBandSize w:val="1"/>
      <w:tblBorders>
        <w:top w:val="single" w:sz="4" w:space="0" w:color="BB8F2E" w:themeColor="accent6"/>
        <w:left w:val="single" w:sz="4" w:space="0" w:color="BB8F2E" w:themeColor="accent6"/>
        <w:bottom w:val="single" w:sz="4" w:space="0" w:color="BB8F2E" w:themeColor="accent6"/>
        <w:right w:val="single" w:sz="4" w:space="0" w:color="BB8F2E" w:themeColor="accent6"/>
      </w:tblBorders>
    </w:tblPr>
    <w:tblStylePr w:type="firstRow">
      <w:rPr>
        <w:b/>
        <w:bCs/>
        <w:color w:val="FFFFFF" w:themeColor="background1"/>
      </w:rPr>
      <w:tblPr/>
      <w:tcPr>
        <w:shd w:val="clear" w:color="auto" w:fill="BB8F2E" w:themeFill="accent6"/>
      </w:tcPr>
    </w:tblStylePr>
    <w:tblStylePr w:type="lastRow">
      <w:rPr>
        <w:b/>
        <w:bCs/>
      </w:rPr>
      <w:tblPr/>
      <w:tcPr>
        <w:tcBorders>
          <w:top w:val="double" w:sz="4" w:space="0" w:color="BB8F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B8F2E" w:themeColor="accent6"/>
          <w:right w:val="single" w:sz="4" w:space="0" w:color="BB8F2E" w:themeColor="accent6"/>
        </w:tcBorders>
      </w:tcPr>
    </w:tblStylePr>
    <w:tblStylePr w:type="band1Horz">
      <w:tblPr/>
      <w:tcPr>
        <w:tcBorders>
          <w:top w:val="single" w:sz="4" w:space="0" w:color="BB8F2E" w:themeColor="accent6"/>
          <w:bottom w:val="single" w:sz="4" w:space="0" w:color="BB8F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8F2E" w:themeColor="accent6"/>
          <w:left w:val="nil"/>
        </w:tcBorders>
      </w:tcPr>
    </w:tblStylePr>
    <w:tblStylePr w:type="swCell">
      <w:tblPr/>
      <w:tcPr>
        <w:tcBorders>
          <w:top w:val="double" w:sz="4" w:space="0" w:color="BB8F2E" w:themeColor="accent6"/>
          <w:right w:val="nil"/>
        </w:tcBorders>
      </w:tcPr>
    </w:tblStylePr>
  </w:style>
  <w:style w:type="table" w:styleId="ListTable4">
    <w:name w:val="List Table 4"/>
    <w:basedOn w:val="TableNormal"/>
    <w:uiPriority w:val="49"/>
    <w:rsid w:val="00050E6E"/>
    <w:pPr>
      <w:spacing w:before="80" w:after="80" w:line="240" w:lineRule="auto"/>
    </w:pPr>
    <w:rPr>
      <w:rFonts w:ascii="Montserrat Light" w:hAnsi="Montserrat Light"/>
      <w:color w:val="282829"/>
    </w:r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tblBorders>
    </w:tblPr>
    <w:tblStylePr w:type="firstRow">
      <w:rPr>
        <w:b/>
        <w:bCs/>
        <w:color w:val="FFFFFF" w:themeColor="background1"/>
      </w:rPr>
      <w:tblPr/>
      <w:tcPr>
        <w:tcBorders>
          <w:top w:val="single" w:sz="4" w:space="0" w:color="282829" w:themeColor="text1"/>
          <w:left w:val="single" w:sz="4" w:space="0" w:color="282829" w:themeColor="text1"/>
          <w:bottom w:val="single" w:sz="4" w:space="0" w:color="282829" w:themeColor="text1"/>
          <w:right w:val="single" w:sz="4" w:space="0" w:color="282829" w:themeColor="text1"/>
          <w:insideH w:val="nil"/>
        </w:tcBorders>
        <w:shd w:val="clear" w:color="auto" w:fill="282829" w:themeFill="text1"/>
      </w:tcPr>
    </w:tblStylePr>
    <w:tblStylePr w:type="lastRow">
      <w:rPr>
        <w:b/>
        <w:bCs/>
      </w:rPr>
      <w:tblPr/>
      <w:tcPr>
        <w:tcBorders>
          <w:top w:val="double" w:sz="4" w:space="0" w:color="7C7C7F" w:themeColor="text1" w:themeTint="99"/>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4-Accent1">
    <w:name w:val="List Table 4 Accent 1"/>
    <w:basedOn w:val="TableNormal"/>
    <w:uiPriority w:val="49"/>
    <w:rsid w:val="00050E6E"/>
    <w:pPr>
      <w:spacing w:before="80" w:after="80" w:line="240" w:lineRule="auto"/>
    </w:pPr>
    <w:rPr>
      <w:rFonts w:ascii="Montserrat Light" w:hAnsi="Montserrat Light"/>
      <w:color w:val="282829"/>
    </w:r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tblBorders>
    </w:tblPr>
    <w:tblStylePr w:type="firstRow">
      <w:rPr>
        <w:b/>
        <w:bCs/>
        <w:color w:val="FFFFFF" w:themeColor="background1"/>
      </w:rPr>
      <w:tblPr/>
      <w:tcPr>
        <w:tcBorders>
          <w:top w:val="single" w:sz="4" w:space="0" w:color="C9187E" w:themeColor="accent1"/>
          <w:left w:val="single" w:sz="4" w:space="0" w:color="C9187E" w:themeColor="accent1"/>
          <w:bottom w:val="single" w:sz="4" w:space="0" w:color="C9187E" w:themeColor="accent1"/>
          <w:right w:val="single" w:sz="4" w:space="0" w:color="C9187E" w:themeColor="accent1"/>
          <w:insideH w:val="nil"/>
        </w:tcBorders>
        <w:shd w:val="clear" w:color="auto" w:fill="C9187E" w:themeFill="accent1"/>
      </w:tcPr>
    </w:tblStylePr>
    <w:tblStylePr w:type="lastRow">
      <w:rPr>
        <w:b/>
        <w:bCs/>
      </w:rPr>
      <w:tblPr/>
      <w:tcPr>
        <w:tcBorders>
          <w:top w:val="double" w:sz="4" w:space="0" w:color="EC66B3" w:themeColor="accent1" w:themeTint="99"/>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4-Accent2">
    <w:name w:val="List Table 4 Accent 2"/>
    <w:basedOn w:val="TableNormal"/>
    <w:uiPriority w:val="49"/>
    <w:rsid w:val="00050E6E"/>
    <w:pPr>
      <w:spacing w:before="80" w:after="80" w:line="240" w:lineRule="auto"/>
    </w:pPr>
    <w:rPr>
      <w:rFonts w:ascii="Montserrat Light" w:hAnsi="Montserrat Light"/>
      <w:color w:val="282829"/>
    </w:r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tblBorders>
    </w:tblPr>
    <w:tblStylePr w:type="firstRow">
      <w:rPr>
        <w:b/>
        <w:bCs/>
        <w:color w:val="FFFFFF" w:themeColor="background1"/>
      </w:rPr>
      <w:tblPr/>
      <w:tcPr>
        <w:tcBorders>
          <w:top w:val="single" w:sz="4" w:space="0" w:color="4EA947" w:themeColor="accent2"/>
          <w:left w:val="single" w:sz="4" w:space="0" w:color="4EA947" w:themeColor="accent2"/>
          <w:bottom w:val="single" w:sz="4" w:space="0" w:color="4EA947" w:themeColor="accent2"/>
          <w:right w:val="single" w:sz="4" w:space="0" w:color="4EA947" w:themeColor="accent2"/>
          <w:insideH w:val="nil"/>
        </w:tcBorders>
        <w:shd w:val="clear" w:color="auto" w:fill="4EA947" w:themeFill="accent2"/>
      </w:tcPr>
    </w:tblStylePr>
    <w:tblStylePr w:type="lastRow">
      <w:rPr>
        <w:b/>
        <w:bCs/>
      </w:rPr>
      <w:tblPr/>
      <w:tcPr>
        <w:tcBorders>
          <w:top w:val="double" w:sz="4" w:space="0" w:color="91CF8C" w:themeColor="accent2" w:themeTint="99"/>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4-Accent3">
    <w:name w:val="List Table 4 Accent 3"/>
    <w:basedOn w:val="TableNormal"/>
    <w:uiPriority w:val="49"/>
    <w:rsid w:val="00050E6E"/>
    <w:pPr>
      <w:spacing w:before="80" w:after="80" w:line="240" w:lineRule="auto"/>
    </w:pPr>
    <w:rPr>
      <w:rFonts w:ascii="Montserrat Light" w:hAnsi="Montserrat Light"/>
      <w:color w:val="282829"/>
    </w:r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tblBorders>
    </w:tblPr>
    <w:tblStylePr w:type="firstRow">
      <w:rPr>
        <w:b/>
        <w:bCs/>
        <w:color w:val="FFFFFF" w:themeColor="background1"/>
      </w:rPr>
      <w:tblPr/>
      <w:tcPr>
        <w:tcBorders>
          <w:top w:val="single" w:sz="4" w:space="0" w:color="E6791E" w:themeColor="accent3"/>
          <w:left w:val="single" w:sz="4" w:space="0" w:color="E6791E" w:themeColor="accent3"/>
          <w:bottom w:val="single" w:sz="4" w:space="0" w:color="E6791E" w:themeColor="accent3"/>
          <w:right w:val="single" w:sz="4" w:space="0" w:color="E6791E" w:themeColor="accent3"/>
          <w:insideH w:val="nil"/>
        </w:tcBorders>
        <w:shd w:val="clear" w:color="auto" w:fill="E6791E" w:themeFill="accent3"/>
      </w:tcPr>
    </w:tblStylePr>
    <w:tblStylePr w:type="lastRow">
      <w:rPr>
        <w:b/>
        <w:bCs/>
      </w:rPr>
      <w:tblPr/>
      <w:tcPr>
        <w:tcBorders>
          <w:top w:val="double" w:sz="4" w:space="0" w:color="F0AE78" w:themeColor="accent3" w:themeTint="99"/>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4-Accent4">
    <w:name w:val="List Table 4 Accent 4"/>
    <w:basedOn w:val="TableNormal"/>
    <w:uiPriority w:val="49"/>
    <w:rsid w:val="00050E6E"/>
    <w:pPr>
      <w:spacing w:before="80" w:after="80" w:line="240" w:lineRule="auto"/>
    </w:pPr>
    <w:rPr>
      <w:rFonts w:ascii="Montserrat Light" w:hAnsi="Montserrat Light"/>
      <w:color w:val="282829"/>
    </w:r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tblBorders>
    </w:tblPr>
    <w:tblStylePr w:type="firstRow">
      <w:rPr>
        <w:b/>
        <w:bCs/>
        <w:color w:val="FFFFFF" w:themeColor="background1"/>
      </w:rPr>
      <w:tblPr/>
      <w:tcPr>
        <w:tcBorders>
          <w:top w:val="single" w:sz="4" w:space="0" w:color="34A3AE" w:themeColor="accent4"/>
          <w:left w:val="single" w:sz="4" w:space="0" w:color="34A3AE" w:themeColor="accent4"/>
          <w:bottom w:val="single" w:sz="4" w:space="0" w:color="34A3AE" w:themeColor="accent4"/>
          <w:right w:val="single" w:sz="4" w:space="0" w:color="34A3AE" w:themeColor="accent4"/>
          <w:insideH w:val="nil"/>
        </w:tcBorders>
        <w:shd w:val="clear" w:color="auto" w:fill="34A3AE" w:themeFill="accent4"/>
      </w:tcPr>
    </w:tblStylePr>
    <w:tblStylePr w:type="lastRow">
      <w:rPr>
        <w:b/>
        <w:bCs/>
      </w:rPr>
      <w:tblPr/>
      <w:tcPr>
        <w:tcBorders>
          <w:top w:val="double" w:sz="4" w:space="0" w:color="7BCFD7" w:themeColor="accent4" w:themeTint="99"/>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4-Accent5">
    <w:name w:val="List Table 4 Accent 5"/>
    <w:basedOn w:val="TableNormal"/>
    <w:uiPriority w:val="49"/>
    <w:rsid w:val="00050E6E"/>
    <w:pPr>
      <w:spacing w:before="80" w:after="80" w:line="240" w:lineRule="auto"/>
    </w:pPr>
    <w:rPr>
      <w:rFonts w:ascii="Montserrat Light" w:hAnsi="Montserrat Light"/>
      <w:color w:val="282829"/>
    </w:r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tblBorders>
    </w:tblPr>
    <w:tblStylePr w:type="firstRow">
      <w:rPr>
        <w:b/>
        <w:bCs/>
        <w:color w:val="FFFFFF" w:themeColor="background1"/>
      </w:rPr>
      <w:tblPr/>
      <w:tcPr>
        <w:tcBorders>
          <w:top w:val="single" w:sz="4" w:space="0" w:color="EF404A" w:themeColor="accent5"/>
          <w:left w:val="single" w:sz="4" w:space="0" w:color="EF404A" w:themeColor="accent5"/>
          <w:bottom w:val="single" w:sz="4" w:space="0" w:color="EF404A" w:themeColor="accent5"/>
          <w:right w:val="single" w:sz="4" w:space="0" w:color="EF404A" w:themeColor="accent5"/>
          <w:insideH w:val="nil"/>
        </w:tcBorders>
        <w:shd w:val="clear" w:color="auto" w:fill="EF404A" w:themeFill="accent5"/>
      </w:tcPr>
    </w:tblStylePr>
    <w:tblStylePr w:type="lastRow">
      <w:rPr>
        <w:b/>
        <w:bCs/>
      </w:rPr>
      <w:tblPr/>
      <w:tcPr>
        <w:tcBorders>
          <w:top w:val="double" w:sz="4" w:space="0" w:color="F58C91" w:themeColor="accent5" w:themeTint="99"/>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4-Accent6">
    <w:name w:val="List Table 4 Accent 6"/>
    <w:basedOn w:val="TableNormal"/>
    <w:uiPriority w:val="49"/>
    <w:rsid w:val="00050E6E"/>
    <w:pPr>
      <w:spacing w:before="80" w:after="80" w:line="240" w:lineRule="auto"/>
    </w:pPr>
    <w:rPr>
      <w:rFonts w:ascii="Montserrat Light" w:hAnsi="Montserrat Light"/>
      <w:color w:val="282829"/>
    </w:r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tblBorders>
    </w:tblPr>
    <w:tblStylePr w:type="firstRow">
      <w:rPr>
        <w:b/>
        <w:bCs/>
        <w:color w:val="FFFFFF" w:themeColor="background1"/>
      </w:rPr>
      <w:tblPr/>
      <w:tcPr>
        <w:tcBorders>
          <w:top w:val="single" w:sz="4" w:space="0" w:color="BB8F2E" w:themeColor="accent6"/>
          <w:left w:val="single" w:sz="4" w:space="0" w:color="BB8F2E" w:themeColor="accent6"/>
          <w:bottom w:val="single" w:sz="4" w:space="0" w:color="BB8F2E" w:themeColor="accent6"/>
          <w:right w:val="single" w:sz="4" w:space="0" w:color="BB8F2E" w:themeColor="accent6"/>
          <w:insideH w:val="nil"/>
        </w:tcBorders>
        <w:shd w:val="clear" w:color="auto" w:fill="BB8F2E" w:themeFill="accent6"/>
      </w:tcPr>
    </w:tblStylePr>
    <w:tblStylePr w:type="lastRow">
      <w:rPr>
        <w:b/>
        <w:bCs/>
      </w:rPr>
      <w:tblPr/>
      <w:tcPr>
        <w:tcBorders>
          <w:top w:val="double" w:sz="4" w:space="0" w:color="DEBE79" w:themeColor="accent6" w:themeTint="99"/>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5Dark">
    <w:name w:val="List Table 5 Dark"/>
    <w:basedOn w:val="TableNormal"/>
    <w:uiPriority w:val="50"/>
    <w:rsid w:val="00050E6E"/>
    <w:pPr>
      <w:spacing w:before="80" w:after="80" w:line="240" w:lineRule="auto"/>
    </w:pPr>
    <w:rPr>
      <w:rFonts w:ascii="Montserrat Light" w:hAnsi="Montserrat Light"/>
      <w:color w:val="FFFFFF" w:themeColor="background1"/>
    </w:rPr>
    <w:tblPr>
      <w:tblStyleRowBandSize w:val="1"/>
      <w:tblStyleColBandSize w:val="1"/>
      <w:tblBorders>
        <w:top w:val="single" w:sz="24" w:space="0" w:color="282829" w:themeColor="text1"/>
        <w:left w:val="single" w:sz="24" w:space="0" w:color="282829" w:themeColor="text1"/>
        <w:bottom w:val="single" w:sz="24" w:space="0" w:color="282829" w:themeColor="text1"/>
        <w:right w:val="single" w:sz="24" w:space="0" w:color="282829" w:themeColor="text1"/>
      </w:tblBorders>
    </w:tblPr>
    <w:tcPr>
      <w:shd w:val="clear" w:color="auto" w:fill="2828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50E6E"/>
    <w:pPr>
      <w:spacing w:before="80" w:after="80" w:line="240" w:lineRule="auto"/>
    </w:pPr>
    <w:rPr>
      <w:rFonts w:ascii="Montserrat Light" w:hAnsi="Montserrat Light"/>
      <w:color w:val="FFFFFF" w:themeColor="background1"/>
    </w:rPr>
    <w:tblPr>
      <w:tblStyleRowBandSize w:val="1"/>
      <w:tblStyleColBandSize w:val="1"/>
      <w:tblBorders>
        <w:top w:val="single" w:sz="24" w:space="0" w:color="C9187E" w:themeColor="accent1"/>
        <w:left w:val="single" w:sz="24" w:space="0" w:color="C9187E" w:themeColor="accent1"/>
        <w:bottom w:val="single" w:sz="24" w:space="0" w:color="C9187E" w:themeColor="accent1"/>
        <w:right w:val="single" w:sz="24" w:space="0" w:color="C9187E" w:themeColor="accent1"/>
      </w:tblBorders>
    </w:tblPr>
    <w:tcPr>
      <w:shd w:val="clear" w:color="auto" w:fill="C9187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50E6E"/>
    <w:pPr>
      <w:spacing w:before="80" w:after="80" w:line="240" w:lineRule="auto"/>
    </w:pPr>
    <w:rPr>
      <w:rFonts w:ascii="Montserrat Light" w:hAnsi="Montserrat Light"/>
      <w:color w:val="FFFFFF" w:themeColor="background1"/>
    </w:rPr>
    <w:tblPr>
      <w:tblStyleRowBandSize w:val="1"/>
      <w:tblStyleColBandSize w:val="1"/>
      <w:tblBorders>
        <w:top w:val="single" w:sz="24" w:space="0" w:color="4EA947" w:themeColor="accent2"/>
        <w:left w:val="single" w:sz="24" w:space="0" w:color="4EA947" w:themeColor="accent2"/>
        <w:bottom w:val="single" w:sz="24" w:space="0" w:color="4EA947" w:themeColor="accent2"/>
        <w:right w:val="single" w:sz="24" w:space="0" w:color="4EA947" w:themeColor="accent2"/>
      </w:tblBorders>
    </w:tblPr>
    <w:tcPr>
      <w:shd w:val="clear" w:color="auto" w:fill="4EA9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50E6E"/>
    <w:pPr>
      <w:spacing w:before="80" w:after="80" w:line="240" w:lineRule="auto"/>
    </w:pPr>
    <w:rPr>
      <w:rFonts w:ascii="Montserrat Light" w:hAnsi="Montserrat Light"/>
      <w:color w:val="FFFFFF" w:themeColor="background1"/>
    </w:rPr>
    <w:tblPr>
      <w:tblStyleRowBandSize w:val="1"/>
      <w:tblStyleColBandSize w:val="1"/>
      <w:tblBorders>
        <w:top w:val="single" w:sz="24" w:space="0" w:color="E6791E" w:themeColor="accent3"/>
        <w:left w:val="single" w:sz="24" w:space="0" w:color="E6791E" w:themeColor="accent3"/>
        <w:bottom w:val="single" w:sz="24" w:space="0" w:color="E6791E" w:themeColor="accent3"/>
        <w:right w:val="single" w:sz="24" w:space="0" w:color="E6791E" w:themeColor="accent3"/>
      </w:tblBorders>
    </w:tblPr>
    <w:tcPr>
      <w:shd w:val="clear" w:color="auto" w:fill="E6791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50E6E"/>
    <w:pPr>
      <w:spacing w:before="80" w:after="80" w:line="240" w:lineRule="auto"/>
    </w:pPr>
    <w:rPr>
      <w:rFonts w:ascii="Montserrat Light" w:hAnsi="Montserrat Light"/>
      <w:color w:val="FFFFFF" w:themeColor="background1"/>
    </w:rPr>
    <w:tblPr>
      <w:tblStyleRowBandSize w:val="1"/>
      <w:tblStyleColBandSize w:val="1"/>
      <w:tblBorders>
        <w:top w:val="single" w:sz="24" w:space="0" w:color="34A3AE" w:themeColor="accent4"/>
        <w:left w:val="single" w:sz="24" w:space="0" w:color="34A3AE" w:themeColor="accent4"/>
        <w:bottom w:val="single" w:sz="24" w:space="0" w:color="34A3AE" w:themeColor="accent4"/>
        <w:right w:val="single" w:sz="24" w:space="0" w:color="34A3AE" w:themeColor="accent4"/>
      </w:tblBorders>
    </w:tblPr>
    <w:tcPr>
      <w:shd w:val="clear" w:color="auto" w:fill="34A3A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50E6E"/>
    <w:pPr>
      <w:spacing w:before="80" w:after="80" w:line="240" w:lineRule="auto"/>
    </w:pPr>
    <w:rPr>
      <w:rFonts w:ascii="Montserrat Light" w:hAnsi="Montserrat Light"/>
      <w:color w:val="FFFFFF" w:themeColor="background1"/>
    </w:rPr>
    <w:tblPr>
      <w:tblStyleRowBandSize w:val="1"/>
      <w:tblStyleColBandSize w:val="1"/>
      <w:tblBorders>
        <w:top w:val="single" w:sz="24" w:space="0" w:color="EF404A" w:themeColor="accent5"/>
        <w:left w:val="single" w:sz="24" w:space="0" w:color="EF404A" w:themeColor="accent5"/>
        <w:bottom w:val="single" w:sz="24" w:space="0" w:color="EF404A" w:themeColor="accent5"/>
        <w:right w:val="single" w:sz="24" w:space="0" w:color="EF404A" w:themeColor="accent5"/>
      </w:tblBorders>
    </w:tblPr>
    <w:tcPr>
      <w:shd w:val="clear" w:color="auto" w:fill="EF404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50E6E"/>
    <w:pPr>
      <w:spacing w:before="80" w:after="80" w:line="240" w:lineRule="auto"/>
    </w:pPr>
    <w:rPr>
      <w:rFonts w:ascii="Montserrat Light" w:hAnsi="Montserrat Light"/>
      <w:color w:val="FFFFFF" w:themeColor="background1"/>
    </w:rPr>
    <w:tblPr>
      <w:tblStyleRowBandSize w:val="1"/>
      <w:tblStyleColBandSize w:val="1"/>
      <w:tblBorders>
        <w:top w:val="single" w:sz="24" w:space="0" w:color="BB8F2E" w:themeColor="accent6"/>
        <w:left w:val="single" w:sz="24" w:space="0" w:color="BB8F2E" w:themeColor="accent6"/>
        <w:bottom w:val="single" w:sz="24" w:space="0" w:color="BB8F2E" w:themeColor="accent6"/>
        <w:right w:val="single" w:sz="24" w:space="0" w:color="BB8F2E" w:themeColor="accent6"/>
      </w:tblBorders>
    </w:tblPr>
    <w:tcPr>
      <w:shd w:val="clear" w:color="auto" w:fill="BB8F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50E6E"/>
    <w:pPr>
      <w:spacing w:before="80" w:after="80" w:line="240" w:lineRule="auto"/>
    </w:pPr>
    <w:rPr>
      <w:rFonts w:ascii="Montserrat Light" w:hAnsi="Montserrat Light"/>
      <w:color w:val="282829" w:themeColor="text1"/>
    </w:rPr>
    <w:tblPr>
      <w:tblStyleRowBandSize w:val="1"/>
      <w:tblStyleColBandSize w:val="1"/>
      <w:tblBorders>
        <w:top w:val="single" w:sz="4" w:space="0" w:color="282829" w:themeColor="text1"/>
        <w:bottom w:val="single" w:sz="4" w:space="0" w:color="282829" w:themeColor="text1"/>
      </w:tblBorders>
    </w:tblPr>
    <w:tblStylePr w:type="firstRow">
      <w:rPr>
        <w:b/>
        <w:bCs/>
      </w:rPr>
      <w:tblPr/>
      <w:tcPr>
        <w:tcBorders>
          <w:bottom w:val="single" w:sz="4" w:space="0" w:color="282829" w:themeColor="text1"/>
        </w:tcBorders>
      </w:tcPr>
    </w:tblStylePr>
    <w:tblStylePr w:type="lastRow">
      <w:rPr>
        <w:b/>
        <w:bCs/>
      </w:rPr>
      <w:tblPr/>
      <w:tcPr>
        <w:tcBorders>
          <w:top w:val="double" w:sz="4" w:space="0" w:color="282829" w:themeColor="text1"/>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6Colorful-Accent1">
    <w:name w:val="List Table 6 Colorful Accent 1"/>
    <w:basedOn w:val="TableNormal"/>
    <w:uiPriority w:val="51"/>
    <w:rsid w:val="00050E6E"/>
    <w:pPr>
      <w:spacing w:before="80" w:after="80" w:line="240" w:lineRule="auto"/>
    </w:pPr>
    <w:rPr>
      <w:rFonts w:ascii="Montserrat Light" w:hAnsi="Montserrat Light"/>
      <w:color w:val="96125D" w:themeColor="accent1" w:themeShade="BF"/>
    </w:rPr>
    <w:tblPr>
      <w:tblStyleRowBandSize w:val="1"/>
      <w:tblStyleColBandSize w:val="1"/>
      <w:tblBorders>
        <w:top w:val="single" w:sz="4" w:space="0" w:color="C9187E" w:themeColor="accent1"/>
        <w:bottom w:val="single" w:sz="4" w:space="0" w:color="C9187E" w:themeColor="accent1"/>
      </w:tblBorders>
    </w:tblPr>
    <w:tblStylePr w:type="firstRow">
      <w:rPr>
        <w:b/>
        <w:bCs/>
      </w:rPr>
      <w:tblPr/>
      <w:tcPr>
        <w:tcBorders>
          <w:bottom w:val="single" w:sz="4" w:space="0" w:color="C9187E" w:themeColor="accent1"/>
        </w:tcBorders>
      </w:tcPr>
    </w:tblStylePr>
    <w:tblStylePr w:type="lastRow">
      <w:rPr>
        <w:b/>
        <w:bCs/>
      </w:rPr>
      <w:tblPr/>
      <w:tcPr>
        <w:tcBorders>
          <w:top w:val="double" w:sz="4" w:space="0" w:color="C9187E" w:themeColor="accent1"/>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6Colorful-Accent2">
    <w:name w:val="List Table 6 Colorful Accent 2"/>
    <w:basedOn w:val="TableNormal"/>
    <w:uiPriority w:val="51"/>
    <w:rsid w:val="00050E6E"/>
    <w:pPr>
      <w:spacing w:before="80" w:after="80" w:line="240" w:lineRule="auto"/>
    </w:pPr>
    <w:rPr>
      <w:rFonts w:ascii="Montserrat Light" w:hAnsi="Montserrat Light"/>
      <w:color w:val="3A7E35" w:themeColor="accent2" w:themeShade="BF"/>
    </w:rPr>
    <w:tblPr>
      <w:tblStyleRowBandSize w:val="1"/>
      <w:tblStyleColBandSize w:val="1"/>
      <w:tblBorders>
        <w:top w:val="single" w:sz="4" w:space="0" w:color="4EA947" w:themeColor="accent2"/>
        <w:bottom w:val="single" w:sz="4" w:space="0" w:color="4EA947" w:themeColor="accent2"/>
      </w:tblBorders>
    </w:tblPr>
    <w:tblStylePr w:type="firstRow">
      <w:rPr>
        <w:b/>
        <w:bCs/>
      </w:rPr>
      <w:tblPr/>
      <w:tcPr>
        <w:tcBorders>
          <w:bottom w:val="single" w:sz="4" w:space="0" w:color="4EA947" w:themeColor="accent2"/>
        </w:tcBorders>
      </w:tcPr>
    </w:tblStylePr>
    <w:tblStylePr w:type="lastRow">
      <w:rPr>
        <w:b/>
        <w:bCs/>
      </w:rPr>
      <w:tblPr/>
      <w:tcPr>
        <w:tcBorders>
          <w:top w:val="double" w:sz="4" w:space="0" w:color="4EA947" w:themeColor="accent2"/>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6Colorful-Accent3">
    <w:name w:val="List Table 6 Colorful Accent 3"/>
    <w:basedOn w:val="TableNormal"/>
    <w:uiPriority w:val="51"/>
    <w:rsid w:val="00050E6E"/>
    <w:pPr>
      <w:spacing w:before="80" w:after="80" w:line="240" w:lineRule="auto"/>
    </w:pPr>
    <w:rPr>
      <w:rFonts w:ascii="Montserrat Light" w:hAnsi="Montserrat Light"/>
      <w:color w:val="AF5A13" w:themeColor="accent3" w:themeShade="BF"/>
    </w:rPr>
    <w:tblPr>
      <w:tblStyleRowBandSize w:val="1"/>
      <w:tblStyleColBandSize w:val="1"/>
      <w:tblBorders>
        <w:top w:val="single" w:sz="4" w:space="0" w:color="E6791E" w:themeColor="accent3"/>
        <w:bottom w:val="single" w:sz="4" w:space="0" w:color="E6791E" w:themeColor="accent3"/>
      </w:tblBorders>
    </w:tblPr>
    <w:tblStylePr w:type="firstRow">
      <w:rPr>
        <w:b/>
        <w:bCs/>
      </w:rPr>
      <w:tblPr/>
      <w:tcPr>
        <w:tcBorders>
          <w:bottom w:val="single" w:sz="4" w:space="0" w:color="E6791E" w:themeColor="accent3"/>
        </w:tcBorders>
      </w:tcPr>
    </w:tblStylePr>
    <w:tblStylePr w:type="lastRow">
      <w:rPr>
        <w:b/>
        <w:bCs/>
      </w:rPr>
      <w:tblPr/>
      <w:tcPr>
        <w:tcBorders>
          <w:top w:val="double" w:sz="4" w:space="0" w:color="E6791E" w:themeColor="accent3"/>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6Colorful-Accent4">
    <w:name w:val="List Table 6 Colorful Accent 4"/>
    <w:basedOn w:val="TableNormal"/>
    <w:uiPriority w:val="51"/>
    <w:rsid w:val="00050E6E"/>
    <w:pPr>
      <w:spacing w:before="80" w:after="80" w:line="240" w:lineRule="auto"/>
    </w:pPr>
    <w:rPr>
      <w:rFonts w:ascii="Montserrat Light" w:hAnsi="Montserrat Light"/>
      <w:color w:val="277982" w:themeColor="accent4" w:themeShade="BF"/>
    </w:rPr>
    <w:tblPr>
      <w:tblStyleRowBandSize w:val="1"/>
      <w:tblStyleColBandSize w:val="1"/>
      <w:tblBorders>
        <w:top w:val="single" w:sz="4" w:space="0" w:color="34A3AE" w:themeColor="accent4"/>
        <w:bottom w:val="single" w:sz="4" w:space="0" w:color="34A3AE" w:themeColor="accent4"/>
      </w:tblBorders>
    </w:tblPr>
    <w:tblStylePr w:type="firstRow">
      <w:rPr>
        <w:b/>
        <w:bCs/>
      </w:rPr>
      <w:tblPr/>
      <w:tcPr>
        <w:tcBorders>
          <w:bottom w:val="single" w:sz="4" w:space="0" w:color="34A3AE" w:themeColor="accent4"/>
        </w:tcBorders>
      </w:tcPr>
    </w:tblStylePr>
    <w:tblStylePr w:type="lastRow">
      <w:rPr>
        <w:b/>
        <w:bCs/>
      </w:rPr>
      <w:tblPr/>
      <w:tcPr>
        <w:tcBorders>
          <w:top w:val="double" w:sz="4" w:space="0" w:color="34A3AE" w:themeColor="accent4"/>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6Colorful-Accent5">
    <w:name w:val="List Table 6 Colorful Accent 5"/>
    <w:basedOn w:val="TableNormal"/>
    <w:uiPriority w:val="51"/>
    <w:rsid w:val="00050E6E"/>
    <w:pPr>
      <w:spacing w:before="80" w:after="80" w:line="240" w:lineRule="auto"/>
    </w:pPr>
    <w:rPr>
      <w:rFonts w:ascii="Montserrat Light" w:hAnsi="Montserrat Light"/>
      <w:color w:val="D1111C" w:themeColor="accent5" w:themeShade="BF"/>
    </w:rPr>
    <w:tblPr>
      <w:tblStyleRowBandSize w:val="1"/>
      <w:tblStyleColBandSize w:val="1"/>
      <w:tblBorders>
        <w:top w:val="single" w:sz="4" w:space="0" w:color="EF404A" w:themeColor="accent5"/>
        <w:bottom w:val="single" w:sz="4" w:space="0" w:color="EF404A" w:themeColor="accent5"/>
      </w:tblBorders>
    </w:tblPr>
    <w:tblStylePr w:type="firstRow">
      <w:rPr>
        <w:b/>
        <w:bCs/>
      </w:rPr>
      <w:tblPr/>
      <w:tcPr>
        <w:tcBorders>
          <w:bottom w:val="single" w:sz="4" w:space="0" w:color="EF404A" w:themeColor="accent5"/>
        </w:tcBorders>
      </w:tcPr>
    </w:tblStylePr>
    <w:tblStylePr w:type="lastRow">
      <w:rPr>
        <w:b/>
        <w:bCs/>
      </w:rPr>
      <w:tblPr/>
      <w:tcPr>
        <w:tcBorders>
          <w:top w:val="double" w:sz="4" w:space="0" w:color="EF404A" w:themeColor="accent5"/>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6Colorful-Accent6">
    <w:name w:val="List Table 6 Colorful Accent 6"/>
    <w:basedOn w:val="TableNormal"/>
    <w:uiPriority w:val="51"/>
    <w:rsid w:val="00050E6E"/>
    <w:pPr>
      <w:spacing w:before="80" w:after="80" w:line="240" w:lineRule="auto"/>
    </w:pPr>
    <w:rPr>
      <w:rFonts w:ascii="Montserrat Light" w:hAnsi="Montserrat Light"/>
      <w:color w:val="8B6A22" w:themeColor="accent6" w:themeShade="BF"/>
    </w:rPr>
    <w:tblPr>
      <w:tblStyleRowBandSize w:val="1"/>
      <w:tblStyleColBandSize w:val="1"/>
      <w:tblBorders>
        <w:top w:val="single" w:sz="4" w:space="0" w:color="BB8F2E" w:themeColor="accent6"/>
        <w:bottom w:val="single" w:sz="4" w:space="0" w:color="BB8F2E" w:themeColor="accent6"/>
      </w:tblBorders>
    </w:tblPr>
    <w:tblStylePr w:type="firstRow">
      <w:rPr>
        <w:b/>
        <w:bCs/>
      </w:rPr>
      <w:tblPr/>
      <w:tcPr>
        <w:tcBorders>
          <w:bottom w:val="single" w:sz="4" w:space="0" w:color="BB8F2E" w:themeColor="accent6"/>
        </w:tcBorders>
      </w:tcPr>
    </w:tblStylePr>
    <w:tblStylePr w:type="lastRow">
      <w:rPr>
        <w:b/>
        <w:bCs/>
      </w:rPr>
      <w:tblPr/>
      <w:tcPr>
        <w:tcBorders>
          <w:top w:val="double" w:sz="4" w:space="0" w:color="BB8F2E" w:themeColor="accent6"/>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7Colorful">
    <w:name w:val="List Table 7 Colorful"/>
    <w:basedOn w:val="TableNormal"/>
    <w:uiPriority w:val="52"/>
    <w:rsid w:val="00050E6E"/>
    <w:pPr>
      <w:spacing w:before="80" w:after="80" w:line="240" w:lineRule="auto"/>
    </w:pPr>
    <w:rPr>
      <w:rFonts w:ascii="Montserrat Light" w:hAnsi="Montserrat Light"/>
      <w:color w:val="28282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28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28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28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2829" w:themeColor="text1"/>
        </w:tcBorders>
        <w:shd w:val="clear" w:color="auto" w:fill="FFFFFF" w:themeFill="background1"/>
      </w:tcPr>
    </w:tblStylePr>
    <w:tblStylePr w:type="band1Vert">
      <w:tblPr/>
      <w:tcPr>
        <w:shd w:val="clear" w:color="auto" w:fill="D3D3D4" w:themeFill="text1" w:themeFillTint="33"/>
      </w:tcPr>
    </w:tblStylePr>
    <w:tblStylePr w:type="band1Horz">
      <w:tblPr/>
      <w:tcPr>
        <w:shd w:val="clear" w:color="auto" w:fill="D3D3D4"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50E6E"/>
    <w:pPr>
      <w:spacing w:before="80" w:after="80" w:line="240" w:lineRule="auto"/>
    </w:pPr>
    <w:rPr>
      <w:rFonts w:ascii="Montserrat Light" w:hAnsi="Montserrat Light"/>
      <w:color w:val="9612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9187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187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187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187E" w:themeColor="accent1"/>
        </w:tcBorders>
        <w:shd w:val="clear" w:color="auto" w:fill="FFFFFF" w:themeFill="background1"/>
      </w:tcPr>
    </w:tblStylePr>
    <w:tblStylePr w:type="band1Vert">
      <w:tblPr/>
      <w:tcPr>
        <w:shd w:val="clear" w:color="auto" w:fill="F9CCE5" w:themeFill="accent1" w:themeFillTint="33"/>
      </w:tcPr>
    </w:tblStylePr>
    <w:tblStylePr w:type="band1Horz">
      <w:tblPr/>
      <w:tcPr>
        <w:shd w:val="clear" w:color="auto" w:fill="F9CCE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50E6E"/>
    <w:pPr>
      <w:spacing w:before="80" w:after="80" w:line="240" w:lineRule="auto"/>
    </w:pPr>
    <w:rPr>
      <w:rFonts w:ascii="Montserrat Light" w:hAnsi="Montserrat Light"/>
      <w:color w:val="3A7E3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9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9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9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947" w:themeColor="accent2"/>
        </w:tcBorders>
        <w:shd w:val="clear" w:color="auto" w:fill="FFFFFF" w:themeFill="background1"/>
      </w:tcPr>
    </w:tblStylePr>
    <w:tblStylePr w:type="band1Vert">
      <w:tblPr/>
      <w:tcPr>
        <w:shd w:val="clear" w:color="auto" w:fill="DAEFD8" w:themeFill="accent2" w:themeFillTint="33"/>
      </w:tcPr>
    </w:tblStylePr>
    <w:tblStylePr w:type="band1Horz">
      <w:tblPr/>
      <w:tcPr>
        <w:shd w:val="clear" w:color="auto" w:fill="DAEF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50E6E"/>
    <w:pPr>
      <w:spacing w:before="80" w:after="80" w:line="240" w:lineRule="auto"/>
    </w:pPr>
    <w:rPr>
      <w:rFonts w:ascii="Montserrat Light" w:hAnsi="Montserrat Light"/>
      <w:color w:val="AF5A1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791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791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791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791E" w:themeColor="accent3"/>
        </w:tcBorders>
        <w:shd w:val="clear" w:color="auto" w:fill="FFFFFF" w:themeFill="background1"/>
      </w:tcPr>
    </w:tblStylePr>
    <w:tblStylePr w:type="band1Vert">
      <w:tblPr/>
      <w:tcPr>
        <w:shd w:val="clear" w:color="auto" w:fill="FAE4D2" w:themeFill="accent3" w:themeFillTint="33"/>
      </w:tcPr>
    </w:tblStylePr>
    <w:tblStylePr w:type="band1Horz">
      <w:tblPr/>
      <w:tcPr>
        <w:shd w:val="clear" w:color="auto" w:fill="FAE4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50E6E"/>
    <w:pPr>
      <w:spacing w:before="80" w:after="80" w:line="240" w:lineRule="auto"/>
    </w:pPr>
    <w:rPr>
      <w:rFonts w:ascii="Montserrat Light" w:hAnsi="Montserrat Light"/>
      <w:color w:val="27798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3A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3A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3A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3AE" w:themeColor="accent4"/>
        </w:tcBorders>
        <w:shd w:val="clear" w:color="auto" w:fill="FFFFFF" w:themeFill="background1"/>
      </w:tcPr>
    </w:tblStylePr>
    <w:tblStylePr w:type="band1Vert">
      <w:tblPr/>
      <w:tcPr>
        <w:shd w:val="clear" w:color="auto" w:fill="D3EFF2" w:themeFill="accent4" w:themeFillTint="33"/>
      </w:tcPr>
    </w:tblStylePr>
    <w:tblStylePr w:type="band1Horz">
      <w:tblPr/>
      <w:tcPr>
        <w:shd w:val="clear" w:color="auto" w:fill="D3EF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50E6E"/>
    <w:pPr>
      <w:spacing w:before="80" w:after="80" w:line="240" w:lineRule="auto"/>
    </w:pPr>
    <w:rPr>
      <w:rFonts w:ascii="Montserrat Light" w:hAnsi="Montserrat Light"/>
      <w:color w:val="D1111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404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404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404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404A" w:themeColor="accent5"/>
        </w:tcBorders>
        <w:shd w:val="clear" w:color="auto" w:fill="FFFFFF" w:themeFill="background1"/>
      </w:tcPr>
    </w:tblStylePr>
    <w:tblStylePr w:type="band1Vert">
      <w:tblPr/>
      <w:tcPr>
        <w:shd w:val="clear" w:color="auto" w:fill="FBD8DA" w:themeFill="accent5" w:themeFillTint="33"/>
      </w:tcPr>
    </w:tblStylePr>
    <w:tblStylePr w:type="band1Horz">
      <w:tblPr/>
      <w:tcPr>
        <w:shd w:val="clear" w:color="auto" w:fill="FBD8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50E6E"/>
    <w:pPr>
      <w:spacing w:before="80" w:after="80" w:line="240" w:lineRule="auto"/>
    </w:pPr>
    <w:rPr>
      <w:rFonts w:ascii="Montserrat Light" w:hAnsi="Montserrat Light"/>
      <w:color w:val="8B6A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B8F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B8F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B8F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B8F2E" w:themeColor="accent6"/>
        </w:tcBorders>
        <w:shd w:val="clear" w:color="auto" w:fill="FFFFFF" w:themeFill="background1"/>
      </w:tcPr>
    </w:tblStylePr>
    <w:tblStylePr w:type="band1Vert">
      <w:tblPr/>
      <w:tcPr>
        <w:shd w:val="clear" w:color="auto" w:fill="F4E9D2" w:themeFill="accent6" w:themeFillTint="33"/>
      </w:tcPr>
    </w:tblStylePr>
    <w:tblStylePr w:type="band1Horz">
      <w:tblPr/>
      <w:tcPr>
        <w:shd w:val="clear" w:color="auto" w:fill="F4E9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50E6E"/>
    <w:pPr>
      <w:tabs>
        <w:tab w:val="left" w:pos="480"/>
        <w:tab w:val="left" w:pos="960"/>
        <w:tab w:val="left" w:pos="1440"/>
        <w:tab w:val="left" w:pos="1920"/>
        <w:tab w:val="left" w:pos="2400"/>
        <w:tab w:val="left" w:pos="2880"/>
        <w:tab w:val="left" w:pos="3360"/>
        <w:tab w:val="left" w:pos="3840"/>
        <w:tab w:val="left" w:pos="4320"/>
      </w:tabs>
      <w:spacing w:after="0"/>
    </w:pPr>
    <w:rPr>
      <w:rFonts w:ascii="Montserrat Light" w:hAnsi="Montserrat Light"/>
      <w:color w:val="282829"/>
      <w:sz w:val="20"/>
      <w:szCs w:val="20"/>
    </w:rPr>
  </w:style>
  <w:style w:type="character" w:customStyle="1" w:styleId="MacroTextChar">
    <w:name w:val="Macro Text Char"/>
    <w:basedOn w:val="DefaultParagraphFont"/>
    <w:link w:val="MacroText"/>
    <w:uiPriority w:val="99"/>
    <w:semiHidden/>
    <w:rsid w:val="00050E6E"/>
    <w:rPr>
      <w:rFonts w:ascii="Montserrat Light" w:hAnsi="Montserrat Light"/>
      <w:color w:val="282829"/>
      <w:sz w:val="20"/>
      <w:szCs w:val="20"/>
    </w:rPr>
  </w:style>
  <w:style w:type="paragraph" w:styleId="NormalWeb">
    <w:name w:val="Normal (Web)"/>
    <w:basedOn w:val="Normal"/>
    <w:uiPriority w:val="99"/>
    <w:semiHidden/>
    <w:unhideWhenUsed/>
    <w:rsid w:val="00050E6E"/>
    <w:rPr>
      <w:rFonts w:cs="Times New Roman"/>
    </w:rPr>
  </w:style>
  <w:style w:type="table" w:styleId="PlainTable1">
    <w:name w:val="Plain Table 1"/>
    <w:basedOn w:val="TableNormal"/>
    <w:uiPriority w:val="41"/>
    <w:rsid w:val="00050E6E"/>
    <w:pPr>
      <w:spacing w:before="80" w:after="80" w:line="240" w:lineRule="auto"/>
    </w:pPr>
    <w:rPr>
      <w:rFonts w:ascii="Montserrat Light" w:hAnsi="Montserrat Light"/>
      <w:color w:val="282829"/>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50E6E"/>
    <w:pPr>
      <w:spacing w:before="80" w:after="80" w:line="240" w:lineRule="auto"/>
    </w:pPr>
    <w:rPr>
      <w:rFonts w:ascii="Montserrat Light" w:hAnsi="Montserrat Light"/>
      <w:color w:val="282829"/>
    </w:rPr>
    <w:tblPr>
      <w:tblStyleRowBandSize w:val="1"/>
      <w:tblStyleColBandSize w:val="1"/>
      <w:tblBorders>
        <w:top w:val="single" w:sz="4" w:space="0" w:color="919194" w:themeColor="text1" w:themeTint="80"/>
        <w:bottom w:val="single" w:sz="4" w:space="0" w:color="919194" w:themeColor="text1" w:themeTint="80"/>
      </w:tblBorders>
    </w:tblPr>
    <w:tblStylePr w:type="firstRow">
      <w:rPr>
        <w:b/>
        <w:bCs/>
      </w:rPr>
      <w:tblPr/>
      <w:tcPr>
        <w:tcBorders>
          <w:bottom w:val="single" w:sz="4" w:space="0" w:color="919194" w:themeColor="text1" w:themeTint="80"/>
        </w:tcBorders>
      </w:tcPr>
    </w:tblStylePr>
    <w:tblStylePr w:type="lastRow">
      <w:rPr>
        <w:b/>
        <w:bCs/>
      </w:rPr>
      <w:tblPr/>
      <w:tcPr>
        <w:tcBorders>
          <w:top w:val="single" w:sz="4" w:space="0" w:color="919194" w:themeColor="text1" w:themeTint="80"/>
        </w:tcBorders>
      </w:tcPr>
    </w:tblStylePr>
    <w:tblStylePr w:type="firstCol">
      <w:rPr>
        <w:b/>
        <w:bCs/>
      </w:rPr>
    </w:tblStylePr>
    <w:tblStylePr w:type="lastCol">
      <w:rPr>
        <w:b/>
        <w:bCs/>
      </w:rPr>
    </w:tblStylePr>
    <w:tblStylePr w:type="band1Vert">
      <w:tblPr/>
      <w:tcPr>
        <w:tcBorders>
          <w:left w:val="single" w:sz="4" w:space="0" w:color="919194" w:themeColor="text1" w:themeTint="80"/>
          <w:right w:val="single" w:sz="4" w:space="0" w:color="919194" w:themeColor="text1" w:themeTint="80"/>
        </w:tcBorders>
      </w:tcPr>
    </w:tblStylePr>
    <w:tblStylePr w:type="band2Vert">
      <w:tblPr/>
      <w:tcPr>
        <w:tcBorders>
          <w:left w:val="single" w:sz="4" w:space="0" w:color="919194" w:themeColor="text1" w:themeTint="80"/>
          <w:right w:val="single" w:sz="4" w:space="0" w:color="919194" w:themeColor="text1" w:themeTint="80"/>
        </w:tcBorders>
      </w:tcPr>
    </w:tblStylePr>
    <w:tblStylePr w:type="band1Horz">
      <w:tblPr/>
      <w:tcPr>
        <w:tcBorders>
          <w:top w:val="single" w:sz="4" w:space="0" w:color="919194" w:themeColor="text1" w:themeTint="80"/>
          <w:bottom w:val="single" w:sz="4" w:space="0" w:color="919194" w:themeColor="text1" w:themeTint="80"/>
        </w:tcBorders>
      </w:tcPr>
    </w:tblStylePr>
  </w:style>
  <w:style w:type="table" w:styleId="PlainTable3">
    <w:name w:val="Plain Table 3"/>
    <w:basedOn w:val="TableNormal"/>
    <w:uiPriority w:val="43"/>
    <w:rsid w:val="00050E6E"/>
    <w:pPr>
      <w:spacing w:before="80" w:after="80" w:line="240" w:lineRule="auto"/>
    </w:pPr>
    <w:rPr>
      <w:rFonts w:ascii="Montserrat Light" w:hAnsi="Montserrat Light"/>
      <w:color w:val="282829"/>
    </w:rPr>
    <w:tblPr>
      <w:tblStyleRowBandSize w:val="1"/>
      <w:tblStyleColBandSize w:val="1"/>
    </w:tblPr>
    <w:tblStylePr w:type="firstRow">
      <w:rPr>
        <w:b/>
        <w:bCs/>
        <w:caps/>
      </w:rPr>
      <w:tblPr/>
      <w:tcPr>
        <w:tcBorders>
          <w:bottom w:val="single" w:sz="4" w:space="0" w:color="91919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919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50E6E"/>
    <w:pPr>
      <w:spacing w:before="80" w:after="80" w:line="240" w:lineRule="auto"/>
    </w:pPr>
    <w:rPr>
      <w:rFonts w:ascii="Montserrat Light" w:hAnsi="Montserrat Light"/>
      <w:color w:val="282829"/>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50E6E"/>
    <w:pPr>
      <w:spacing w:before="80" w:after="80" w:line="240" w:lineRule="auto"/>
    </w:pPr>
    <w:rPr>
      <w:rFonts w:ascii="Montserrat Light" w:hAnsi="Montserrat Light"/>
      <w:color w:val="282829"/>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19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9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9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9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50E6E"/>
    <w:pPr>
      <w:spacing w:after="0" w:line="240" w:lineRule="auto"/>
    </w:pPr>
    <w:rPr>
      <w:sz w:val="21"/>
      <w:szCs w:val="21"/>
    </w:rPr>
  </w:style>
  <w:style w:type="character" w:customStyle="1" w:styleId="PlainTextChar">
    <w:name w:val="Plain Text Char"/>
    <w:basedOn w:val="DefaultParagraphFont"/>
    <w:link w:val="PlainText"/>
    <w:uiPriority w:val="99"/>
    <w:semiHidden/>
    <w:rsid w:val="00050E6E"/>
    <w:rPr>
      <w:rFonts w:ascii="Montserrat Light" w:hAnsi="Montserrat Light"/>
      <w:sz w:val="21"/>
      <w:szCs w:val="21"/>
    </w:rPr>
  </w:style>
  <w:style w:type="table" w:styleId="TableGridLight">
    <w:name w:val="Grid Table Light"/>
    <w:basedOn w:val="TableNormal"/>
    <w:uiPriority w:val="40"/>
    <w:rsid w:val="00050E6E"/>
    <w:pPr>
      <w:spacing w:before="80" w:after="80" w:line="240" w:lineRule="auto"/>
    </w:pPr>
    <w:rPr>
      <w:rFonts w:ascii="Montserrat Light" w:hAnsi="Montserrat Light"/>
      <w:color w:val="282829"/>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ofFiguresbullet">
    <w:name w:val="Table of Figures bullet"/>
    <w:rsid w:val="00050E6E"/>
    <w:pPr>
      <w:spacing w:before="240" w:after="240"/>
      <w:ind w:left="1134" w:hanging="567"/>
    </w:pPr>
    <w:rPr>
      <w:rFonts w:ascii="Montserrat Light" w:hAnsi="Montserrat Light"/>
      <w:noProof/>
      <w:color w:val="414042"/>
    </w:rPr>
  </w:style>
  <w:style w:type="paragraph" w:styleId="TOAHeading">
    <w:name w:val="toa heading"/>
    <w:basedOn w:val="Normal"/>
    <w:next w:val="Normal"/>
    <w:uiPriority w:val="99"/>
    <w:semiHidden/>
    <w:unhideWhenUsed/>
    <w:rsid w:val="00050E6E"/>
    <w:pPr>
      <w:spacing w:before="120"/>
    </w:pPr>
    <w:rPr>
      <w:rFonts w:asciiTheme="majorHAnsi" w:eastAsiaTheme="majorEastAsia" w:hAnsiTheme="majorHAnsi" w:cstheme="majorBidi"/>
      <w:b/>
      <w:bCs/>
    </w:rPr>
  </w:style>
  <w:style w:type="character" w:customStyle="1" w:styleId="TOC2Char">
    <w:name w:val="TOC 2 Char"/>
    <w:basedOn w:val="DefaultParagraphFont"/>
    <w:link w:val="TOC2"/>
    <w:uiPriority w:val="39"/>
    <w:rsid w:val="00050E6E"/>
    <w:rPr>
      <w:rFonts w:ascii="Montserrat Light" w:hAnsi="Montserrat Light"/>
      <w:noProof/>
      <w:color w:val="3C3C3E"/>
      <w:lang w:eastAsia="en-GB"/>
    </w:rPr>
  </w:style>
  <w:style w:type="paragraph" w:styleId="TOC3">
    <w:name w:val="toc 3"/>
    <w:next w:val="Normal"/>
    <w:autoRedefine/>
    <w:uiPriority w:val="39"/>
    <w:unhideWhenUsed/>
    <w:rsid w:val="00050E6E"/>
    <w:pPr>
      <w:tabs>
        <w:tab w:val="right" w:leader="dot" w:pos="9639"/>
      </w:tabs>
      <w:spacing w:before="120" w:after="120"/>
      <w:ind w:left="1134"/>
    </w:pPr>
    <w:rPr>
      <w:rFonts w:ascii="Montserrat Light" w:hAnsi="Montserrat Light"/>
      <w:color w:val="6E6E70"/>
    </w:rPr>
  </w:style>
  <w:style w:type="paragraph" w:customStyle="1" w:styleId="Word-markers">
    <w:name w:val="Word-markers"/>
    <w:basedOn w:val="Normal"/>
    <w:rsid w:val="00050E6E"/>
    <w:pPr>
      <w:spacing w:before="0" w:after="0" w:line="240" w:lineRule="auto"/>
      <w:ind w:left="170" w:right="170"/>
      <w:contextualSpacing/>
    </w:pPr>
    <w:rPr>
      <w:caps/>
      <w:color w:val="FFFFFF"/>
      <w:spacing w:val="20"/>
    </w:rPr>
  </w:style>
  <w:style w:type="paragraph" w:customStyle="1" w:styleId="xfootnote-format">
    <w:name w:val="x.footnote-format"/>
    <w:basedOn w:val="FootnoteText"/>
    <w:qFormat/>
    <w:rsid w:val="00050E6E"/>
    <w:rPr>
      <w:color w:val="1A2A57"/>
      <w:kern w:val="20"/>
    </w:rPr>
  </w:style>
  <w:style w:type="character" w:customStyle="1" w:styleId="xItalic-footnote">
    <w:name w:val="x.Italic-footnote"/>
    <w:basedOn w:val="FooterChar"/>
    <w:uiPriority w:val="1"/>
    <w:qFormat/>
    <w:rsid w:val="00050E6E"/>
    <w:rPr>
      <w:rFonts w:ascii="Montserrat Light" w:hAnsi="Montserrat Light"/>
      <w:i/>
      <w:color w:val="1A2A57"/>
      <w:kern w:val="20"/>
      <w:sz w:val="20"/>
    </w:rPr>
  </w:style>
  <w:style w:type="numbering" w:styleId="ArticleSection">
    <w:name w:val="Outline List 3"/>
    <w:basedOn w:val="NoList"/>
    <w:uiPriority w:val="99"/>
    <w:semiHidden/>
    <w:unhideWhenUsed/>
    <w:rsid w:val="00050E6E"/>
    <w:pPr>
      <w:numPr>
        <w:numId w:val="41"/>
      </w:numPr>
    </w:pPr>
  </w:style>
  <w:style w:type="paragraph" w:styleId="Bibliography">
    <w:name w:val="Bibliography"/>
    <w:basedOn w:val="Normal"/>
    <w:next w:val="Normal"/>
    <w:uiPriority w:val="37"/>
    <w:semiHidden/>
    <w:rsid w:val="00050E6E"/>
  </w:style>
  <w:style w:type="table" w:customStyle="1" w:styleId="TableGrid2">
    <w:name w:val="Table Grid2"/>
    <w:basedOn w:val="TableNormal"/>
    <w:next w:val="TableGrid"/>
    <w:uiPriority w:val="59"/>
    <w:rsid w:val="008A6D57"/>
    <w:pPr>
      <w:spacing w:after="0" w:line="240" w:lineRule="auto"/>
    </w:pPr>
    <w:rPr>
      <w:rFonts w:ascii="Cynulliad Sans" w:eastAsia="Calibri" w:hAnsi="Cynulliad Sans"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A6D57"/>
    <w:pPr>
      <w:spacing w:after="0" w:line="240" w:lineRule="auto"/>
    </w:pPr>
    <w:rPr>
      <w:rFonts w:ascii="Cynulliad Sans" w:eastAsia="Calibri" w:hAnsi="Cynulliad Sans"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A6D57"/>
    <w:pPr>
      <w:spacing w:after="0" w:line="240" w:lineRule="auto"/>
    </w:pPr>
    <w:rPr>
      <w:rFonts w:ascii="Cynulliad Sans" w:eastAsia="Calibri" w:hAnsi="Cynulliad Sans"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10400"/>
    <w:pPr>
      <w:spacing w:after="0" w:line="240" w:lineRule="auto"/>
    </w:pPr>
    <w:rPr>
      <w:rFonts w:ascii="Cynulliad Sans" w:eastAsia="Calibri" w:hAnsi="Cynulliad Sans"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01022"/>
    <w:pPr>
      <w:spacing w:after="0" w:line="240" w:lineRule="auto"/>
    </w:pPr>
    <w:rPr>
      <w:rFonts w:ascii="Cynulliad Sans" w:eastAsia="Calibri" w:hAnsi="Cynulliad Sans"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5Block-quote"/>
    <w:rsid w:val="00E907D8"/>
    <w:pPr>
      <w:numPr>
        <w:numId w:val="42"/>
      </w:numPr>
      <w:ind w:left="1418"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2001">
      <w:bodyDiv w:val="1"/>
      <w:marLeft w:val="0"/>
      <w:marRight w:val="0"/>
      <w:marTop w:val="0"/>
      <w:marBottom w:val="0"/>
      <w:divBdr>
        <w:top w:val="none" w:sz="0" w:space="0" w:color="auto"/>
        <w:left w:val="none" w:sz="0" w:space="0" w:color="auto"/>
        <w:bottom w:val="none" w:sz="0" w:space="0" w:color="auto"/>
        <w:right w:val="none" w:sz="0" w:space="0" w:color="auto"/>
      </w:divBdr>
    </w:div>
    <w:div w:id="36516567">
      <w:bodyDiv w:val="1"/>
      <w:marLeft w:val="0"/>
      <w:marRight w:val="0"/>
      <w:marTop w:val="0"/>
      <w:marBottom w:val="0"/>
      <w:divBdr>
        <w:top w:val="none" w:sz="0" w:space="0" w:color="auto"/>
        <w:left w:val="none" w:sz="0" w:space="0" w:color="auto"/>
        <w:bottom w:val="none" w:sz="0" w:space="0" w:color="auto"/>
        <w:right w:val="none" w:sz="0" w:space="0" w:color="auto"/>
      </w:divBdr>
    </w:div>
    <w:div w:id="157432016">
      <w:bodyDiv w:val="1"/>
      <w:marLeft w:val="0"/>
      <w:marRight w:val="0"/>
      <w:marTop w:val="0"/>
      <w:marBottom w:val="0"/>
      <w:divBdr>
        <w:top w:val="none" w:sz="0" w:space="0" w:color="auto"/>
        <w:left w:val="none" w:sz="0" w:space="0" w:color="auto"/>
        <w:bottom w:val="none" w:sz="0" w:space="0" w:color="auto"/>
        <w:right w:val="none" w:sz="0" w:space="0" w:color="auto"/>
      </w:divBdr>
    </w:div>
    <w:div w:id="174005732">
      <w:bodyDiv w:val="1"/>
      <w:marLeft w:val="0"/>
      <w:marRight w:val="0"/>
      <w:marTop w:val="0"/>
      <w:marBottom w:val="0"/>
      <w:divBdr>
        <w:top w:val="none" w:sz="0" w:space="0" w:color="auto"/>
        <w:left w:val="none" w:sz="0" w:space="0" w:color="auto"/>
        <w:bottom w:val="none" w:sz="0" w:space="0" w:color="auto"/>
        <w:right w:val="none" w:sz="0" w:space="0" w:color="auto"/>
      </w:divBdr>
    </w:div>
    <w:div w:id="203371803">
      <w:bodyDiv w:val="1"/>
      <w:marLeft w:val="0"/>
      <w:marRight w:val="0"/>
      <w:marTop w:val="0"/>
      <w:marBottom w:val="0"/>
      <w:divBdr>
        <w:top w:val="none" w:sz="0" w:space="0" w:color="auto"/>
        <w:left w:val="none" w:sz="0" w:space="0" w:color="auto"/>
        <w:bottom w:val="none" w:sz="0" w:space="0" w:color="auto"/>
        <w:right w:val="none" w:sz="0" w:space="0" w:color="auto"/>
      </w:divBdr>
    </w:div>
    <w:div w:id="259415126">
      <w:bodyDiv w:val="1"/>
      <w:marLeft w:val="0"/>
      <w:marRight w:val="0"/>
      <w:marTop w:val="0"/>
      <w:marBottom w:val="0"/>
      <w:divBdr>
        <w:top w:val="none" w:sz="0" w:space="0" w:color="auto"/>
        <w:left w:val="none" w:sz="0" w:space="0" w:color="auto"/>
        <w:bottom w:val="none" w:sz="0" w:space="0" w:color="auto"/>
        <w:right w:val="none" w:sz="0" w:space="0" w:color="auto"/>
      </w:divBdr>
    </w:div>
    <w:div w:id="286280016">
      <w:bodyDiv w:val="1"/>
      <w:marLeft w:val="0"/>
      <w:marRight w:val="0"/>
      <w:marTop w:val="0"/>
      <w:marBottom w:val="0"/>
      <w:divBdr>
        <w:top w:val="none" w:sz="0" w:space="0" w:color="auto"/>
        <w:left w:val="none" w:sz="0" w:space="0" w:color="auto"/>
        <w:bottom w:val="none" w:sz="0" w:space="0" w:color="auto"/>
        <w:right w:val="none" w:sz="0" w:space="0" w:color="auto"/>
      </w:divBdr>
    </w:div>
    <w:div w:id="381097575">
      <w:bodyDiv w:val="1"/>
      <w:marLeft w:val="0"/>
      <w:marRight w:val="0"/>
      <w:marTop w:val="0"/>
      <w:marBottom w:val="0"/>
      <w:divBdr>
        <w:top w:val="none" w:sz="0" w:space="0" w:color="auto"/>
        <w:left w:val="none" w:sz="0" w:space="0" w:color="auto"/>
        <w:bottom w:val="none" w:sz="0" w:space="0" w:color="auto"/>
        <w:right w:val="none" w:sz="0" w:space="0" w:color="auto"/>
      </w:divBdr>
    </w:div>
    <w:div w:id="442382235">
      <w:bodyDiv w:val="1"/>
      <w:marLeft w:val="0"/>
      <w:marRight w:val="0"/>
      <w:marTop w:val="0"/>
      <w:marBottom w:val="0"/>
      <w:divBdr>
        <w:top w:val="none" w:sz="0" w:space="0" w:color="auto"/>
        <w:left w:val="none" w:sz="0" w:space="0" w:color="auto"/>
        <w:bottom w:val="none" w:sz="0" w:space="0" w:color="auto"/>
        <w:right w:val="none" w:sz="0" w:space="0" w:color="auto"/>
      </w:divBdr>
    </w:div>
    <w:div w:id="479080320">
      <w:bodyDiv w:val="1"/>
      <w:marLeft w:val="0"/>
      <w:marRight w:val="0"/>
      <w:marTop w:val="0"/>
      <w:marBottom w:val="0"/>
      <w:divBdr>
        <w:top w:val="none" w:sz="0" w:space="0" w:color="auto"/>
        <w:left w:val="none" w:sz="0" w:space="0" w:color="auto"/>
        <w:bottom w:val="none" w:sz="0" w:space="0" w:color="auto"/>
        <w:right w:val="none" w:sz="0" w:space="0" w:color="auto"/>
      </w:divBdr>
    </w:div>
    <w:div w:id="503320638">
      <w:bodyDiv w:val="1"/>
      <w:marLeft w:val="0"/>
      <w:marRight w:val="0"/>
      <w:marTop w:val="0"/>
      <w:marBottom w:val="0"/>
      <w:divBdr>
        <w:top w:val="none" w:sz="0" w:space="0" w:color="auto"/>
        <w:left w:val="none" w:sz="0" w:space="0" w:color="auto"/>
        <w:bottom w:val="none" w:sz="0" w:space="0" w:color="auto"/>
        <w:right w:val="none" w:sz="0" w:space="0" w:color="auto"/>
      </w:divBdr>
    </w:div>
    <w:div w:id="555703373">
      <w:bodyDiv w:val="1"/>
      <w:marLeft w:val="0"/>
      <w:marRight w:val="0"/>
      <w:marTop w:val="0"/>
      <w:marBottom w:val="0"/>
      <w:divBdr>
        <w:top w:val="none" w:sz="0" w:space="0" w:color="auto"/>
        <w:left w:val="none" w:sz="0" w:space="0" w:color="auto"/>
        <w:bottom w:val="none" w:sz="0" w:space="0" w:color="auto"/>
        <w:right w:val="none" w:sz="0" w:space="0" w:color="auto"/>
      </w:divBdr>
    </w:div>
    <w:div w:id="562906076">
      <w:bodyDiv w:val="1"/>
      <w:marLeft w:val="0"/>
      <w:marRight w:val="0"/>
      <w:marTop w:val="0"/>
      <w:marBottom w:val="0"/>
      <w:divBdr>
        <w:top w:val="none" w:sz="0" w:space="0" w:color="auto"/>
        <w:left w:val="none" w:sz="0" w:space="0" w:color="auto"/>
        <w:bottom w:val="none" w:sz="0" w:space="0" w:color="auto"/>
        <w:right w:val="none" w:sz="0" w:space="0" w:color="auto"/>
      </w:divBdr>
    </w:div>
    <w:div w:id="610092156">
      <w:bodyDiv w:val="1"/>
      <w:marLeft w:val="0"/>
      <w:marRight w:val="0"/>
      <w:marTop w:val="0"/>
      <w:marBottom w:val="0"/>
      <w:divBdr>
        <w:top w:val="none" w:sz="0" w:space="0" w:color="auto"/>
        <w:left w:val="none" w:sz="0" w:space="0" w:color="auto"/>
        <w:bottom w:val="none" w:sz="0" w:space="0" w:color="auto"/>
        <w:right w:val="none" w:sz="0" w:space="0" w:color="auto"/>
      </w:divBdr>
    </w:div>
    <w:div w:id="648947529">
      <w:bodyDiv w:val="1"/>
      <w:marLeft w:val="0"/>
      <w:marRight w:val="0"/>
      <w:marTop w:val="0"/>
      <w:marBottom w:val="0"/>
      <w:divBdr>
        <w:top w:val="none" w:sz="0" w:space="0" w:color="auto"/>
        <w:left w:val="none" w:sz="0" w:space="0" w:color="auto"/>
        <w:bottom w:val="none" w:sz="0" w:space="0" w:color="auto"/>
        <w:right w:val="none" w:sz="0" w:space="0" w:color="auto"/>
      </w:divBdr>
    </w:div>
    <w:div w:id="767625776">
      <w:bodyDiv w:val="1"/>
      <w:marLeft w:val="0"/>
      <w:marRight w:val="0"/>
      <w:marTop w:val="0"/>
      <w:marBottom w:val="0"/>
      <w:divBdr>
        <w:top w:val="none" w:sz="0" w:space="0" w:color="auto"/>
        <w:left w:val="none" w:sz="0" w:space="0" w:color="auto"/>
        <w:bottom w:val="none" w:sz="0" w:space="0" w:color="auto"/>
        <w:right w:val="none" w:sz="0" w:space="0" w:color="auto"/>
      </w:divBdr>
    </w:div>
    <w:div w:id="823132240">
      <w:bodyDiv w:val="1"/>
      <w:marLeft w:val="0"/>
      <w:marRight w:val="0"/>
      <w:marTop w:val="0"/>
      <w:marBottom w:val="0"/>
      <w:divBdr>
        <w:top w:val="none" w:sz="0" w:space="0" w:color="auto"/>
        <w:left w:val="none" w:sz="0" w:space="0" w:color="auto"/>
        <w:bottom w:val="none" w:sz="0" w:space="0" w:color="auto"/>
        <w:right w:val="none" w:sz="0" w:space="0" w:color="auto"/>
      </w:divBdr>
    </w:div>
    <w:div w:id="832725246">
      <w:bodyDiv w:val="1"/>
      <w:marLeft w:val="0"/>
      <w:marRight w:val="0"/>
      <w:marTop w:val="0"/>
      <w:marBottom w:val="0"/>
      <w:divBdr>
        <w:top w:val="none" w:sz="0" w:space="0" w:color="auto"/>
        <w:left w:val="none" w:sz="0" w:space="0" w:color="auto"/>
        <w:bottom w:val="none" w:sz="0" w:space="0" w:color="auto"/>
        <w:right w:val="none" w:sz="0" w:space="0" w:color="auto"/>
      </w:divBdr>
    </w:div>
    <w:div w:id="853307089">
      <w:bodyDiv w:val="1"/>
      <w:marLeft w:val="0"/>
      <w:marRight w:val="0"/>
      <w:marTop w:val="0"/>
      <w:marBottom w:val="0"/>
      <w:divBdr>
        <w:top w:val="none" w:sz="0" w:space="0" w:color="auto"/>
        <w:left w:val="none" w:sz="0" w:space="0" w:color="auto"/>
        <w:bottom w:val="none" w:sz="0" w:space="0" w:color="auto"/>
        <w:right w:val="none" w:sz="0" w:space="0" w:color="auto"/>
      </w:divBdr>
    </w:div>
    <w:div w:id="870148427">
      <w:bodyDiv w:val="1"/>
      <w:marLeft w:val="0"/>
      <w:marRight w:val="0"/>
      <w:marTop w:val="0"/>
      <w:marBottom w:val="0"/>
      <w:divBdr>
        <w:top w:val="none" w:sz="0" w:space="0" w:color="auto"/>
        <w:left w:val="none" w:sz="0" w:space="0" w:color="auto"/>
        <w:bottom w:val="none" w:sz="0" w:space="0" w:color="auto"/>
        <w:right w:val="none" w:sz="0" w:space="0" w:color="auto"/>
      </w:divBdr>
    </w:div>
    <w:div w:id="1052264801">
      <w:bodyDiv w:val="1"/>
      <w:marLeft w:val="0"/>
      <w:marRight w:val="0"/>
      <w:marTop w:val="0"/>
      <w:marBottom w:val="0"/>
      <w:divBdr>
        <w:top w:val="none" w:sz="0" w:space="0" w:color="auto"/>
        <w:left w:val="none" w:sz="0" w:space="0" w:color="auto"/>
        <w:bottom w:val="none" w:sz="0" w:space="0" w:color="auto"/>
        <w:right w:val="none" w:sz="0" w:space="0" w:color="auto"/>
      </w:divBdr>
    </w:div>
    <w:div w:id="1076245534">
      <w:bodyDiv w:val="1"/>
      <w:marLeft w:val="0"/>
      <w:marRight w:val="0"/>
      <w:marTop w:val="0"/>
      <w:marBottom w:val="0"/>
      <w:divBdr>
        <w:top w:val="none" w:sz="0" w:space="0" w:color="auto"/>
        <w:left w:val="none" w:sz="0" w:space="0" w:color="auto"/>
        <w:bottom w:val="none" w:sz="0" w:space="0" w:color="auto"/>
        <w:right w:val="none" w:sz="0" w:space="0" w:color="auto"/>
      </w:divBdr>
    </w:div>
    <w:div w:id="1080982281">
      <w:bodyDiv w:val="1"/>
      <w:marLeft w:val="0"/>
      <w:marRight w:val="0"/>
      <w:marTop w:val="0"/>
      <w:marBottom w:val="0"/>
      <w:divBdr>
        <w:top w:val="none" w:sz="0" w:space="0" w:color="auto"/>
        <w:left w:val="none" w:sz="0" w:space="0" w:color="auto"/>
        <w:bottom w:val="none" w:sz="0" w:space="0" w:color="auto"/>
        <w:right w:val="none" w:sz="0" w:space="0" w:color="auto"/>
      </w:divBdr>
    </w:div>
    <w:div w:id="1213031745">
      <w:bodyDiv w:val="1"/>
      <w:marLeft w:val="0"/>
      <w:marRight w:val="0"/>
      <w:marTop w:val="0"/>
      <w:marBottom w:val="0"/>
      <w:divBdr>
        <w:top w:val="none" w:sz="0" w:space="0" w:color="auto"/>
        <w:left w:val="none" w:sz="0" w:space="0" w:color="auto"/>
        <w:bottom w:val="none" w:sz="0" w:space="0" w:color="auto"/>
        <w:right w:val="none" w:sz="0" w:space="0" w:color="auto"/>
      </w:divBdr>
    </w:div>
    <w:div w:id="1235624671">
      <w:bodyDiv w:val="1"/>
      <w:marLeft w:val="0"/>
      <w:marRight w:val="0"/>
      <w:marTop w:val="0"/>
      <w:marBottom w:val="0"/>
      <w:divBdr>
        <w:top w:val="none" w:sz="0" w:space="0" w:color="auto"/>
        <w:left w:val="none" w:sz="0" w:space="0" w:color="auto"/>
        <w:bottom w:val="none" w:sz="0" w:space="0" w:color="auto"/>
        <w:right w:val="none" w:sz="0" w:space="0" w:color="auto"/>
      </w:divBdr>
    </w:div>
    <w:div w:id="1244948566">
      <w:bodyDiv w:val="1"/>
      <w:marLeft w:val="0"/>
      <w:marRight w:val="0"/>
      <w:marTop w:val="0"/>
      <w:marBottom w:val="0"/>
      <w:divBdr>
        <w:top w:val="none" w:sz="0" w:space="0" w:color="auto"/>
        <w:left w:val="none" w:sz="0" w:space="0" w:color="auto"/>
        <w:bottom w:val="none" w:sz="0" w:space="0" w:color="auto"/>
        <w:right w:val="none" w:sz="0" w:space="0" w:color="auto"/>
      </w:divBdr>
    </w:div>
    <w:div w:id="1274510495">
      <w:bodyDiv w:val="1"/>
      <w:marLeft w:val="0"/>
      <w:marRight w:val="0"/>
      <w:marTop w:val="0"/>
      <w:marBottom w:val="0"/>
      <w:divBdr>
        <w:top w:val="none" w:sz="0" w:space="0" w:color="auto"/>
        <w:left w:val="none" w:sz="0" w:space="0" w:color="auto"/>
        <w:bottom w:val="none" w:sz="0" w:space="0" w:color="auto"/>
        <w:right w:val="none" w:sz="0" w:space="0" w:color="auto"/>
      </w:divBdr>
    </w:div>
    <w:div w:id="1279265394">
      <w:bodyDiv w:val="1"/>
      <w:marLeft w:val="0"/>
      <w:marRight w:val="0"/>
      <w:marTop w:val="0"/>
      <w:marBottom w:val="0"/>
      <w:divBdr>
        <w:top w:val="none" w:sz="0" w:space="0" w:color="auto"/>
        <w:left w:val="none" w:sz="0" w:space="0" w:color="auto"/>
        <w:bottom w:val="none" w:sz="0" w:space="0" w:color="auto"/>
        <w:right w:val="none" w:sz="0" w:space="0" w:color="auto"/>
      </w:divBdr>
    </w:div>
    <w:div w:id="1364094610">
      <w:bodyDiv w:val="1"/>
      <w:marLeft w:val="0"/>
      <w:marRight w:val="0"/>
      <w:marTop w:val="0"/>
      <w:marBottom w:val="0"/>
      <w:divBdr>
        <w:top w:val="none" w:sz="0" w:space="0" w:color="auto"/>
        <w:left w:val="none" w:sz="0" w:space="0" w:color="auto"/>
        <w:bottom w:val="none" w:sz="0" w:space="0" w:color="auto"/>
        <w:right w:val="none" w:sz="0" w:space="0" w:color="auto"/>
      </w:divBdr>
    </w:div>
    <w:div w:id="1376392329">
      <w:bodyDiv w:val="1"/>
      <w:marLeft w:val="0"/>
      <w:marRight w:val="0"/>
      <w:marTop w:val="0"/>
      <w:marBottom w:val="0"/>
      <w:divBdr>
        <w:top w:val="none" w:sz="0" w:space="0" w:color="auto"/>
        <w:left w:val="none" w:sz="0" w:space="0" w:color="auto"/>
        <w:bottom w:val="none" w:sz="0" w:space="0" w:color="auto"/>
        <w:right w:val="none" w:sz="0" w:space="0" w:color="auto"/>
      </w:divBdr>
    </w:div>
    <w:div w:id="1398476821">
      <w:bodyDiv w:val="1"/>
      <w:marLeft w:val="0"/>
      <w:marRight w:val="0"/>
      <w:marTop w:val="0"/>
      <w:marBottom w:val="0"/>
      <w:divBdr>
        <w:top w:val="none" w:sz="0" w:space="0" w:color="auto"/>
        <w:left w:val="none" w:sz="0" w:space="0" w:color="auto"/>
        <w:bottom w:val="none" w:sz="0" w:space="0" w:color="auto"/>
        <w:right w:val="none" w:sz="0" w:space="0" w:color="auto"/>
      </w:divBdr>
    </w:div>
    <w:div w:id="1524591792">
      <w:bodyDiv w:val="1"/>
      <w:marLeft w:val="0"/>
      <w:marRight w:val="0"/>
      <w:marTop w:val="0"/>
      <w:marBottom w:val="0"/>
      <w:divBdr>
        <w:top w:val="none" w:sz="0" w:space="0" w:color="auto"/>
        <w:left w:val="none" w:sz="0" w:space="0" w:color="auto"/>
        <w:bottom w:val="none" w:sz="0" w:space="0" w:color="auto"/>
        <w:right w:val="none" w:sz="0" w:space="0" w:color="auto"/>
      </w:divBdr>
    </w:div>
    <w:div w:id="1570925370">
      <w:bodyDiv w:val="1"/>
      <w:marLeft w:val="0"/>
      <w:marRight w:val="0"/>
      <w:marTop w:val="0"/>
      <w:marBottom w:val="0"/>
      <w:divBdr>
        <w:top w:val="none" w:sz="0" w:space="0" w:color="auto"/>
        <w:left w:val="none" w:sz="0" w:space="0" w:color="auto"/>
        <w:bottom w:val="none" w:sz="0" w:space="0" w:color="auto"/>
        <w:right w:val="none" w:sz="0" w:space="0" w:color="auto"/>
      </w:divBdr>
    </w:div>
    <w:div w:id="1587618604">
      <w:bodyDiv w:val="1"/>
      <w:marLeft w:val="0"/>
      <w:marRight w:val="0"/>
      <w:marTop w:val="0"/>
      <w:marBottom w:val="0"/>
      <w:divBdr>
        <w:top w:val="none" w:sz="0" w:space="0" w:color="auto"/>
        <w:left w:val="none" w:sz="0" w:space="0" w:color="auto"/>
        <w:bottom w:val="none" w:sz="0" w:space="0" w:color="auto"/>
        <w:right w:val="none" w:sz="0" w:space="0" w:color="auto"/>
      </w:divBdr>
    </w:div>
    <w:div w:id="1595896001">
      <w:bodyDiv w:val="1"/>
      <w:marLeft w:val="0"/>
      <w:marRight w:val="0"/>
      <w:marTop w:val="0"/>
      <w:marBottom w:val="0"/>
      <w:divBdr>
        <w:top w:val="none" w:sz="0" w:space="0" w:color="auto"/>
        <w:left w:val="none" w:sz="0" w:space="0" w:color="auto"/>
        <w:bottom w:val="none" w:sz="0" w:space="0" w:color="auto"/>
        <w:right w:val="none" w:sz="0" w:space="0" w:color="auto"/>
      </w:divBdr>
    </w:div>
    <w:div w:id="1614552155">
      <w:bodyDiv w:val="1"/>
      <w:marLeft w:val="0"/>
      <w:marRight w:val="0"/>
      <w:marTop w:val="0"/>
      <w:marBottom w:val="0"/>
      <w:divBdr>
        <w:top w:val="none" w:sz="0" w:space="0" w:color="auto"/>
        <w:left w:val="none" w:sz="0" w:space="0" w:color="auto"/>
        <w:bottom w:val="none" w:sz="0" w:space="0" w:color="auto"/>
        <w:right w:val="none" w:sz="0" w:space="0" w:color="auto"/>
      </w:divBdr>
    </w:div>
    <w:div w:id="1695962150">
      <w:bodyDiv w:val="1"/>
      <w:marLeft w:val="0"/>
      <w:marRight w:val="0"/>
      <w:marTop w:val="0"/>
      <w:marBottom w:val="0"/>
      <w:divBdr>
        <w:top w:val="none" w:sz="0" w:space="0" w:color="auto"/>
        <w:left w:val="none" w:sz="0" w:space="0" w:color="auto"/>
        <w:bottom w:val="none" w:sz="0" w:space="0" w:color="auto"/>
        <w:right w:val="none" w:sz="0" w:space="0" w:color="auto"/>
      </w:divBdr>
    </w:div>
    <w:div w:id="1743214117">
      <w:bodyDiv w:val="1"/>
      <w:marLeft w:val="0"/>
      <w:marRight w:val="0"/>
      <w:marTop w:val="0"/>
      <w:marBottom w:val="0"/>
      <w:divBdr>
        <w:top w:val="none" w:sz="0" w:space="0" w:color="auto"/>
        <w:left w:val="none" w:sz="0" w:space="0" w:color="auto"/>
        <w:bottom w:val="none" w:sz="0" w:space="0" w:color="auto"/>
        <w:right w:val="none" w:sz="0" w:space="0" w:color="auto"/>
      </w:divBdr>
    </w:div>
    <w:div w:id="1746294520">
      <w:bodyDiv w:val="1"/>
      <w:marLeft w:val="0"/>
      <w:marRight w:val="0"/>
      <w:marTop w:val="0"/>
      <w:marBottom w:val="0"/>
      <w:divBdr>
        <w:top w:val="none" w:sz="0" w:space="0" w:color="auto"/>
        <w:left w:val="none" w:sz="0" w:space="0" w:color="auto"/>
        <w:bottom w:val="none" w:sz="0" w:space="0" w:color="auto"/>
        <w:right w:val="none" w:sz="0" w:space="0" w:color="auto"/>
      </w:divBdr>
    </w:div>
    <w:div w:id="1825854166">
      <w:bodyDiv w:val="1"/>
      <w:marLeft w:val="0"/>
      <w:marRight w:val="0"/>
      <w:marTop w:val="0"/>
      <w:marBottom w:val="0"/>
      <w:divBdr>
        <w:top w:val="none" w:sz="0" w:space="0" w:color="auto"/>
        <w:left w:val="none" w:sz="0" w:space="0" w:color="auto"/>
        <w:bottom w:val="none" w:sz="0" w:space="0" w:color="auto"/>
        <w:right w:val="none" w:sz="0" w:space="0" w:color="auto"/>
      </w:divBdr>
    </w:div>
    <w:div w:id="1837307407">
      <w:bodyDiv w:val="1"/>
      <w:marLeft w:val="0"/>
      <w:marRight w:val="0"/>
      <w:marTop w:val="0"/>
      <w:marBottom w:val="0"/>
      <w:divBdr>
        <w:top w:val="none" w:sz="0" w:space="0" w:color="auto"/>
        <w:left w:val="none" w:sz="0" w:space="0" w:color="auto"/>
        <w:bottom w:val="none" w:sz="0" w:space="0" w:color="auto"/>
        <w:right w:val="none" w:sz="0" w:space="0" w:color="auto"/>
      </w:divBdr>
    </w:div>
    <w:div w:id="1895239049">
      <w:bodyDiv w:val="1"/>
      <w:marLeft w:val="0"/>
      <w:marRight w:val="0"/>
      <w:marTop w:val="0"/>
      <w:marBottom w:val="0"/>
      <w:divBdr>
        <w:top w:val="none" w:sz="0" w:space="0" w:color="auto"/>
        <w:left w:val="none" w:sz="0" w:space="0" w:color="auto"/>
        <w:bottom w:val="none" w:sz="0" w:space="0" w:color="auto"/>
        <w:right w:val="none" w:sz="0" w:space="0" w:color="auto"/>
      </w:divBdr>
    </w:div>
    <w:div w:id="2078278438">
      <w:bodyDiv w:val="1"/>
      <w:marLeft w:val="0"/>
      <w:marRight w:val="0"/>
      <w:marTop w:val="0"/>
      <w:marBottom w:val="0"/>
      <w:divBdr>
        <w:top w:val="none" w:sz="0" w:space="0" w:color="auto"/>
        <w:left w:val="none" w:sz="0" w:space="0" w:color="auto"/>
        <w:bottom w:val="none" w:sz="0" w:space="0" w:color="auto"/>
        <w:right w:val="none" w:sz="0" w:space="0" w:color="auto"/>
      </w:divBdr>
    </w:div>
    <w:div w:id="2090298840">
      <w:bodyDiv w:val="1"/>
      <w:marLeft w:val="0"/>
      <w:marRight w:val="0"/>
      <w:marTop w:val="0"/>
      <w:marBottom w:val="0"/>
      <w:divBdr>
        <w:top w:val="none" w:sz="0" w:space="0" w:color="auto"/>
        <w:left w:val="none" w:sz="0" w:space="0" w:color="auto"/>
        <w:bottom w:val="none" w:sz="0" w:space="0" w:color="auto"/>
        <w:right w:val="none" w:sz="0" w:space="0" w:color="auto"/>
      </w:divBdr>
    </w:div>
    <w:div w:id="2122452061">
      <w:bodyDiv w:val="1"/>
      <w:marLeft w:val="0"/>
      <w:marRight w:val="0"/>
      <w:marTop w:val="0"/>
      <w:marBottom w:val="0"/>
      <w:divBdr>
        <w:top w:val="none" w:sz="0" w:space="0" w:color="auto"/>
        <w:left w:val="none" w:sz="0" w:space="0" w:color="auto"/>
        <w:bottom w:val="none" w:sz="0" w:space="0" w:color="auto"/>
        <w:right w:val="none" w:sz="0" w:space="0" w:color="auto"/>
      </w:divBdr>
    </w:div>
    <w:div w:id="2124569765">
      <w:bodyDiv w:val="1"/>
      <w:marLeft w:val="0"/>
      <w:marRight w:val="0"/>
      <w:marTop w:val="0"/>
      <w:marBottom w:val="0"/>
      <w:divBdr>
        <w:top w:val="none" w:sz="0" w:space="0" w:color="auto"/>
        <w:left w:val="none" w:sz="0" w:space="0" w:color="auto"/>
        <w:bottom w:val="none" w:sz="0" w:space="0" w:color="auto"/>
        <w:right w:val="none" w:sz="0" w:space="0" w:color="auto"/>
      </w:divBdr>
    </w:div>
    <w:div w:id="213185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sembly.wales/en/newhome/pages/newsitem.aspx?itemid=1632" TargetMode="External"/><Relationship Id="rId18" Type="http://schemas.openxmlformats.org/officeDocument/2006/relationships/image" Target="media/image11.jpeg"/><Relationship Id="rId26" Type="http://schemas.openxmlformats.org/officeDocument/2006/relationships/hyperlink" Target="https://assemblyinbrief.wordpress.com/2017/03/03/the-gender-gap-launch-of-gender-equality-indicators-for-wales/" TargetMode="Externa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ssembly.wales/NAfW%20Documents/About%20the%20Assembly%20section%20documents/Commissionstrategy-Englishbranded1%28final%29.pdf" TargetMode="External"/><Relationship Id="rId17" Type="http://schemas.openxmlformats.org/officeDocument/2006/relationships/image" Target="media/image10.png"/><Relationship Id="rId25" Type="http://schemas.openxmlformats.org/officeDocument/2006/relationships/hyperlink" Target="https://cynulliad.sharepoint.com/sites/blogs/bulletin/Lists/Posts/Post.aspx?ID=39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6.jpg"/><Relationship Id="rId32" Type="http://schemas.openxmlformats.org/officeDocument/2006/relationships/hyperlink" Target="http://www.assembly.wales/en/gethome/working/recruitment/Pages/pay-scales.aspx" TargetMode="Externa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assembly.wales/NAfW%20Documents/Assembly%20Business%20section%20documents/Getting%20Involved%20with%20Committees/GettingInvolvedWithCommittees_eng.pdf" TargetMode="External"/><Relationship Id="rId28" Type="http://schemas.openxmlformats.org/officeDocument/2006/relationships/header" Target="header2.xml"/><Relationship Id="rId36" Type="http://schemas.openxmlformats.org/officeDocument/2006/relationships/customXml" Target="../customXml/item3.xml"/><Relationship Id="rId10" Type="http://schemas.openxmlformats.org/officeDocument/2006/relationships/image" Target="media/image6.jpg"/><Relationship Id="rId19" Type="http://schemas.openxmlformats.org/officeDocument/2006/relationships/image" Target="media/image12.jpg"/><Relationship Id="rId31" Type="http://schemas.openxmlformats.org/officeDocument/2006/relationships/hyperlink" Target="https://www.equalityhumanrights.com/en/our-work/equal-pa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ssembly.wales/en/newhome/pages/newsitem.aspx?itemid=1642" TargetMode="External"/><Relationship Id="rId22" Type="http://schemas.openxmlformats.org/officeDocument/2006/relationships/image" Target="media/image15.jpeg"/><Relationship Id="rId27" Type="http://schemas.openxmlformats.org/officeDocument/2006/relationships/hyperlink" Target="http://www.assembly.wales/NAfW%20Documents/About%20the%20Assembly%20section%20documents/EQIA-OLS-July17-en.pdf" TargetMode="External"/><Relationship Id="rId30" Type="http://schemas.openxmlformats.org/officeDocument/2006/relationships/footer" Target="footer3.xml"/><Relationship Id="rId35"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ons.gov.uk/employmentandlabourmarket/peopleinwork/earningsandworkinghours/bulletins/annualsurveyofhoursandearnings/2016provisionalresult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P:\OPO\APS%20staff%20information\Comms-Resource\Templates\A4\Short\Dark-blue-light-blue.dotm" TargetMode="External"/></Relationships>
</file>

<file path=word/theme/theme1.xml><?xml version="1.0" encoding="utf-8"?>
<a:theme xmlns:a="http://schemas.openxmlformats.org/drawingml/2006/main" name="Office Theme">
  <a:themeElements>
    <a:clrScheme name="blue">
      <a:dk1>
        <a:srgbClr val="282829"/>
      </a:dk1>
      <a:lt1>
        <a:srgbClr val="FFFFFF"/>
      </a:lt1>
      <a:dk2>
        <a:srgbClr val="1A2A57"/>
      </a:dk2>
      <a:lt2>
        <a:srgbClr val="FFFFFF"/>
      </a:lt2>
      <a:accent1>
        <a:srgbClr val="C9187E"/>
      </a:accent1>
      <a:accent2>
        <a:srgbClr val="4EA947"/>
      </a:accent2>
      <a:accent3>
        <a:srgbClr val="E6791E"/>
      </a:accent3>
      <a:accent4>
        <a:srgbClr val="34A3AE"/>
      </a:accent4>
      <a:accent5>
        <a:srgbClr val="EF404A"/>
      </a:accent5>
      <a:accent6>
        <a:srgbClr val="BB8F2E"/>
      </a:accent6>
      <a:hlink>
        <a:srgbClr val="1A2A57"/>
      </a:hlink>
      <a:folHlink>
        <a:srgbClr val="1A2A5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English</NAfW_x0020_Language>
    <Meeting_x0020_Date xmlns="a4e7e3ba-90a1-4b0a-844f-73b076486bd6" xsi:nil="true"/>
    <Assembly xmlns="a4e7e3ba-90a1-4b0a-844f-73b076486bd6">5</Assembly>
  </documentManagement>
</p:properties>
</file>

<file path=customXml/itemProps1.xml><?xml version="1.0" encoding="utf-8"?>
<ds:datastoreItem xmlns:ds="http://schemas.openxmlformats.org/officeDocument/2006/customXml" ds:itemID="{51988728-DEB8-4552-8561-B20B9C32A0EE}">
  <ds:schemaRefs>
    <ds:schemaRef ds:uri="http://schemas.openxmlformats.org/officeDocument/2006/bibliography"/>
  </ds:schemaRefs>
</ds:datastoreItem>
</file>

<file path=customXml/itemProps2.xml><?xml version="1.0" encoding="utf-8"?>
<ds:datastoreItem xmlns:ds="http://schemas.openxmlformats.org/officeDocument/2006/customXml" ds:itemID="{AC97DC99-980F-4CEA-87B0-857C736D19FE}"/>
</file>

<file path=customXml/itemProps3.xml><?xml version="1.0" encoding="utf-8"?>
<ds:datastoreItem xmlns:ds="http://schemas.openxmlformats.org/officeDocument/2006/customXml" ds:itemID="{0C267DA8-AACF-4CD4-8023-D61204999936}"/>
</file>

<file path=customXml/itemProps4.xml><?xml version="1.0" encoding="utf-8"?>
<ds:datastoreItem xmlns:ds="http://schemas.openxmlformats.org/officeDocument/2006/customXml" ds:itemID="{EEAD3825-6002-4B32-842F-D0C35C9E6122}"/>
</file>

<file path=docProps/app.xml><?xml version="1.0" encoding="utf-8"?>
<Properties xmlns="http://schemas.openxmlformats.org/officeDocument/2006/extended-properties" xmlns:vt="http://schemas.openxmlformats.org/officeDocument/2006/docPropsVTypes">
  <Template>Dark-blue-light-blue</Template>
  <TotalTime>546</TotalTime>
  <Pages>94</Pages>
  <Words>14323</Words>
  <Characters>81645</Characters>
  <Application>Microsoft Office Word</Application>
  <DocSecurity>0</DocSecurity>
  <Lines>680</Lines>
  <Paragraphs>191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National Assembly for Wales</Company>
  <LinksUpToDate>false</LinksUpToDate>
  <CharactersWithSpaces>95777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equality report final 2016-17 English doc</dc:title>
  <dc:subject/>
  <dc:creator>Orr, Robert (Assembly – Communications)</dc:creator>
  <cp:keywords/>
  <dc:description/>
  <cp:lastModifiedBy>Draper-Orr, Robert (Staff Comisiwn y Cynulliad | Assembly Commission Staff)</cp:lastModifiedBy>
  <cp:revision>28</cp:revision>
  <cp:lastPrinted>2018-02-16T14:53:00Z</cp:lastPrinted>
  <dcterms:created xsi:type="dcterms:W3CDTF">2018-01-17T10:58:00Z</dcterms:created>
  <dcterms:modified xsi:type="dcterms:W3CDTF">2018-02-16T16:19:00Z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0x010100C32B317B5CB4014E8FDC61FB98CB4975005FAEA218B416EA4AA3AC39610A9AED10</vt:lpwstr>
  </property>
</Properties>
</file>